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29BCF">
      <w:pPr>
        <w:keepNext w:val="0"/>
        <w:keepLines w:val="0"/>
        <w:pageBreakBefore w:val="0"/>
        <w:widowControl w:val="0"/>
        <w:numPr>
          <w:ilvl w:val="0"/>
          <w:numId w:val="0"/>
        </w:numPr>
        <w:tabs>
          <w:tab w:val="left" w:pos="2653"/>
        </w:tab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2"/>
          <w:sz w:val="44"/>
          <w:szCs w:val="44"/>
          <w:lang w:val="en-US" w:eastAsia="zh-CN" w:bidi="ar-SA"/>
        </w:rPr>
      </w:pPr>
      <w:bookmarkStart w:id="46" w:name="_GoBack"/>
      <w:bookmarkEnd w:id="46"/>
      <w:r>
        <w:rPr>
          <w:rFonts w:hint="eastAsia" w:ascii="宋体" w:hAnsi="宋体" w:eastAsia="宋体" w:cs="宋体"/>
          <w:b/>
          <w:bCs/>
          <w:color w:val="auto"/>
          <w:kern w:val="2"/>
          <w:sz w:val="44"/>
          <w:szCs w:val="44"/>
          <w:lang w:val="en-US" w:eastAsia="zh-CN" w:bidi="ar-SA"/>
        </w:rPr>
        <w:t>广州市增城区中医医院</w:t>
      </w:r>
    </w:p>
    <w:p w14:paraId="246A2FB0">
      <w:pPr>
        <w:keepNext w:val="0"/>
        <w:keepLines w:val="0"/>
        <w:pageBreakBefore w:val="0"/>
        <w:widowControl w:val="0"/>
        <w:numPr>
          <w:ilvl w:val="0"/>
          <w:numId w:val="0"/>
        </w:numPr>
        <w:tabs>
          <w:tab w:val="left" w:pos="2653"/>
        </w:tabs>
        <w:kinsoku/>
        <w:wordWrap/>
        <w:overflowPunct/>
        <w:topLinePunct w:val="0"/>
        <w:autoSpaceDE/>
        <w:autoSpaceDN/>
        <w:bidi w:val="0"/>
        <w:adjustRightInd/>
        <w:snapToGrid/>
        <w:spacing w:line="240" w:lineRule="auto"/>
        <w:jc w:val="center"/>
        <w:textAlignment w:val="auto"/>
        <w:rPr>
          <w:rFonts w:hint="eastAsia" w:ascii="宋体" w:hAnsi="宋体" w:cs="宋体"/>
          <w:b/>
          <w:bCs/>
          <w:color w:val="auto"/>
          <w:kern w:val="2"/>
          <w:sz w:val="44"/>
          <w:szCs w:val="44"/>
          <w:lang w:val="en-US" w:eastAsia="zh-CN" w:bidi="ar-SA"/>
        </w:rPr>
      </w:pPr>
      <w:r>
        <w:rPr>
          <w:rFonts w:hint="eastAsia" w:ascii="宋体" w:hAnsi="宋体" w:cs="宋体"/>
          <w:b/>
          <w:bCs/>
          <w:color w:val="auto"/>
          <w:kern w:val="2"/>
          <w:sz w:val="44"/>
          <w:szCs w:val="44"/>
          <w:lang w:val="en-US" w:eastAsia="zh-CN" w:bidi="ar-SA"/>
        </w:rPr>
        <w:t>2025年医保业务系统接口改造建设项目</w:t>
      </w:r>
    </w:p>
    <w:p w14:paraId="30E8C6B6">
      <w:pPr>
        <w:keepNext w:val="0"/>
        <w:keepLines w:val="0"/>
        <w:pageBreakBefore w:val="0"/>
        <w:widowControl w:val="0"/>
        <w:numPr>
          <w:ilvl w:val="0"/>
          <w:numId w:val="0"/>
        </w:numPr>
        <w:tabs>
          <w:tab w:val="left" w:pos="2653"/>
        </w:tab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kern w:val="2"/>
          <w:sz w:val="44"/>
          <w:szCs w:val="44"/>
          <w:lang w:val="en-US" w:eastAsia="zh-CN" w:bidi="ar-SA"/>
        </w:rPr>
      </w:pPr>
      <w:r>
        <w:rPr>
          <w:rFonts w:hint="eastAsia" w:ascii="宋体" w:hAnsi="宋体" w:eastAsia="宋体" w:cs="宋体"/>
          <w:b/>
          <w:bCs/>
          <w:color w:val="auto"/>
          <w:kern w:val="2"/>
          <w:sz w:val="44"/>
          <w:szCs w:val="44"/>
          <w:lang w:val="en-US" w:eastAsia="zh-CN" w:bidi="ar-SA"/>
        </w:rPr>
        <w:t>采购需求</w:t>
      </w:r>
    </w:p>
    <w:p w14:paraId="34B14AAA">
      <w:pPr>
        <w:widowControl w:val="0"/>
        <w:numPr>
          <w:ilvl w:val="0"/>
          <w:numId w:val="0"/>
        </w:numPr>
        <w:spacing w:line="360" w:lineRule="auto"/>
        <w:ind w:leftChars="0" w:firstLine="420" w:firstLineChars="200"/>
        <w:jc w:val="both"/>
        <w:rPr>
          <w:rFonts w:hint="eastAsia" w:ascii="宋体" w:hAnsi="宋体" w:cs="宋体"/>
          <w:color w:val="auto"/>
          <w:kern w:val="2"/>
          <w:sz w:val="21"/>
          <w:szCs w:val="21"/>
          <w:lang w:val="en-US" w:eastAsia="zh-CN" w:bidi="ar-SA"/>
        </w:rPr>
      </w:pPr>
    </w:p>
    <w:p w14:paraId="7EF41232">
      <w:pPr>
        <w:pageBreakBefore w:val="0"/>
        <w:widowControl w:val="0"/>
        <w:numPr>
          <w:ilvl w:val="0"/>
          <w:numId w:val="0"/>
        </w:numPr>
        <w:kinsoku/>
        <w:wordWrap/>
        <w:overflowPunct/>
        <w:topLinePunct w:val="0"/>
        <w:autoSpaceDE/>
        <w:autoSpaceDN/>
        <w:bidi w:val="0"/>
        <w:adjustRightInd/>
        <w:spacing w:beforeAutospacing="0" w:afterAutospacing="0" w:line="360" w:lineRule="auto"/>
        <w:ind w:leftChars="0" w:firstLine="562" w:firstLineChars="200"/>
        <w:jc w:val="both"/>
        <w:textAlignment w:val="auto"/>
        <w:outlineLvl w:val="0"/>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一、项目概述</w:t>
      </w:r>
    </w:p>
    <w:p w14:paraId="749178E3">
      <w:pPr>
        <w:pageBreakBefore w:val="0"/>
        <w:widowControl w:val="0"/>
        <w:numPr>
          <w:ilvl w:val="0"/>
          <w:numId w:val="0"/>
        </w:numPr>
        <w:kinsoku/>
        <w:wordWrap/>
        <w:overflowPunct/>
        <w:topLinePunct w:val="0"/>
        <w:autoSpaceDE/>
        <w:autoSpaceDN/>
        <w:bidi w:val="0"/>
        <w:adjustRightInd/>
        <w:spacing w:beforeAutospacing="0" w:afterAutospacing="0" w:line="360" w:lineRule="auto"/>
        <w:ind w:leftChars="0" w:firstLine="480" w:firstLineChars="200"/>
        <w:jc w:val="both"/>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1、项目名称：广州市增城区中医医院2025年医保业务系统接口改造建设项目</w:t>
      </w:r>
    </w:p>
    <w:p w14:paraId="34F468B7">
      <w:pPr>
        <w:pageBreakBefore w:val="0"/>
        <w:widowControl w:val="0"/>
        <w:numPr>
          <w:ilvl w:val="0"/>
          <w:numId w:val="0"/>
        </w:numPr>
        <w:kinsoku/>
        <w:wordWrap/>
        <w:overflowPunct/>
        <w:topLinePunct w:val="0"/>
        <w:autoSpaceDE/>
        <w:autoSpaceDN/>
        <w:bidi w:val="0"/>
        <w:adjustRightInd/>
        <w:spacing w:beforeAutospacing="0" w:afterAutospacing="0" w:line="360" w:lineRule="auto"/>
        <w:ind w:leftChars="0" w:firstLine="480" w:firstLineChars="200"/>
        <w:jc w:val="both"/>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2、最高限价：人民币673400元</w:t>
      </w:r>
    </w:p>
    <w:p w14:paraId="24E109FD">
      <w:pPr>
        <w:pageBreakBefore w:val="0"/>
        <w:widowControl w:val="0"/>
        <w:numPr>
          <w:ilvl w:val="0"/>
          <w:numId w:val="0"/>
        </w:numPr>
        <w:kinsoku/>
        <w:wordWrap/>
        <w:overflowPunct/>
        <w:topLinePunct w:val="0"/>
        <w:autoSpaceDE/>
        <w:autoSpaceDN/>
        <w:bidi w:val="0"/>
        <w:adjustRightInd/>
        <w:spacing w:beforeAutospacing="0" w:afterAutospacing="0" w:line="360" w:lineRule="auto"/>
        <w:ind w:leftChars="0" w:firstLine="480" w:firstLineChars="200"/>
        <w:jc w:val="both"/>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3、采购品目及编码：C16010302 行业应用软件开发服务</w:t>
      </w:r>
    </w:p>
    <w:p w14:paraId="1DB5E335">
      <w:pPr>
        <w:pageBreakBefore w:val="0"/>
        <w:widowControl w:val="0"/>
        <w:numPr>
          <w:ilvl w:val="0"/>
          <w:numId w:val="0"/>
        </w:numPr>
        <w:kinsoku/>
        <w:wordWrap/>
        <w:overflowPunct/>
        <w:topLinePunct w:val="0"/>
        <w:autoSpaceDE/>
        <w:autoSpaceDN/>
        <w:bidi w:val="0"/>
        <w:adjustRightInd/>
        <w:spacing w:beforeAutospacing="0" w:afterAutospacing="0" w:line="360" w:lineRule="auto"/>
        <w:ind w:leftChars="0" w:firstLine="480" w:firstLineChars="200"/>
        <w:jc w:val="both"/>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4、项目质量保修期限：自项目验收通过后一年。</w:t>
      </w:r>
    </w:p>
    <w:p w14:paraId="37B0E321">
      <w:pPr>
        <w:pageBreakBefore w:val="0"/>
        <w:widowControl w:val="0"/>
        <w:numPr>
          <w:ilvl w:val="0"/>
          <w:numId w:val="0"/>
        </w:numPr>
        <w:kinsoku/>
        <w:wordWrap/>
        <w:overflowPunct/>
        <w:topLinePunct w:val="0"/>
        <w:autoSpaceDE/>
        <w:autoSpaceDN/>
        <w:bidi w:val="0"/>
        <w:adjustRightInd/>
        <w:spacing w:beforeAutospacing="0" w:afterAutospacing="0" w:line="360" w:lineRule="auto"/>
        <w:ind w:leftChars="0" w:firstLine="562" w:firstLineChars="200"/>
        <w:jc w:val="both"/>
        <w:textAlignment w:val="auto"/>
        <w:outlineLvl w:val="0"/>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二、采购清单</w:t>
      </w:r>
    </w:p>
    <w:tbl>
      <w:tblPr>
        <w:tblStyle w:val="4"/>
        <w:tblW w:w="48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486"/>
        <w:gridCol w:w="1499"/>
        <w:gridCol w:w="1586"/>
        <w:gridCol w:w="2427"/>
      </w:tblGrid>
      <w:tr w14:paraId="5F77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5" w:hRule="atLeast"/>
          <w:jc w:val="center"/>
        </w:trPr>
        <w:tc>
          <w:tcPr>
            <w:tcW w:w="1554" w:type="pct"/>
            <w:noWrap w:val="0"/>
            <w:vAlign w:val="center"/>
          </w:tcPr>
          <w:p w14:paraId="1922513F">
            <w:pPr>
              <w:pageBreakBefore w:val="0"/>
              <w:widowControl w:val="0"/>
              <w:kinsoku/>
              <w:wordWrap/>
              <w:overflowPunct/>
              <w:topLinePunct w:val="0"/>
              <w:autoSpaceDE/>
              <w:autoSpaceDN/>
              <w:bidi w:val="0"/>
              <w:adjustRightInd/>
              <w:spacing w:beforeAutospacing="0" w:afterAutospacing="0" w:line="336" w:lineRule="auto"/>
              <w:jc w:val="center"/>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采购内容</w:t>
            </w:r>
          </w:p>
        </w:tc>
        <w:tc>
          <w:tcPr>
            <w:tcW w:w="937" w:type="pct"/>
            <w:noWrap w:val="0"/>
            <w:vAlign w:val="center"/>
          </w:tcPr>
          <w:p w14:paraId="3D693873">
            <w:pPr>
              <w:pageBreakBefore w:val="0"/>
              <w:widowControl w:val="0"/>
              <w:kinsoku/>
              <w:wordWrap/>
              <w:overflowPunct/>
              <w:topLinePunct w:val="0"/>
              <w:autoSpaceDE/>
              <w:autoSpaceDN/>
              <w:bidi w:val="0"/>
              <w:adjustRightInd/>
              <w:spacing w:beforeAutospacing="0" w:afterAutospacing="0" w:line="336" w:lineRule="auto"/>
              <w:jc w:val="center"/>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sz w:val="24"/>
                <w:szCs w:val="24"/>
                <w:lang w:val="en-US" w:eastAsia="zh-CN"/>
              </w:rPr>
              <w:t>数量</w:t>
            </w:r>
          </w:p>
        </w:tc>
        <w:tc>
          <w:tcPr>
            <w:tcW w:w="991" w:type="pct"/>
            <w:shd w:val="clear" w:color="auto" w:fill="auto"/>
            <w:noWrap w:val="0"/>
            <w:vAlign w:val="center"/>
          </w:tcPr>
          <w:p w14:paraId="4B21BC7B">
            <w:pPr>
              <w:pageBreakBefore w:val="0"/>
              <w:widowControl/>
              <w:kinsoku/>
              <w:wordWrap/>
              <w:overflowPunct/>
              <w:topLinePunct w:val="0"/>
              <w:autoSpaceDE/>
              <w:autoSpaceDN/>
              <w:bidi w:val="0"/>
              <w:adjustRightInd/>
              <w:spacing w:beforeAutospacing="0" w:afterAutospacing="0"/>
              <w:jc w:val="center"/>
              <w:textAlignment w:val="auto"/>
              <w:rPr>
                <w:rFonts w:hint="eastAsia" w:ascii="仿宋" w:hAnsi="仿宋" w:eastAsia="仿宋" w:cs="仿宋"/>
                <w:b w:val="0"/>
                <w:bCs w:val="0"/>
                <w:color w:val="auto"/>
                <w:kern w:val="0"/>
                <w:sz w:val="24"/>
                <w:szCs w:val="24"/>
                <w:lang w:val="zh-CN" w:eastAsia="zh-CN" w:bidi="ar-SA"/>
              </w:rPr>
            </w:pPr>
            <w:r>
              <w:rPr>
                <w:rFonts w:hint="eastAsia" w:ascii="仿宋" w:hAnsi="仿宋" w:eastAsia="仿宋" w:cs="仿宋"/>
                <w:b w:val="0"/>
                <w:bCs w:val="0"/>
                <w:color w:val="auto"/>
                <w:kern w:val="0"/>
                <w:sz w:val="24"/>
                <w:szCs w:val="24"/>
              </w:rPr>
              <w:t>单位</w:t>
            </w:r>
          </w:p>
        </w:tc>
        <w:tc>
          <w:tcPr>
            <w:tcW w:w="1517" w:type="pct"/>
            <w:shd w:val="clear" w:color="auto" w:fill="auto"/>
            <w:noWrap w:val="0"/>
            <w:vAlign w:val="center"/>
          </w:tcPr>
          <w:p w14:paraId="5635D92A">
            <w:pPr>
              <w:pageBreakBefore w:val="0"/>
              <w:widowControl w:val="0"/>
              <w:kinsoku/>
              <w:wordWrap/>
              <w:overflowPunct/>
              <w:topLinePunct w:val="0"/>
              <w:autoSpaceDE/>
              <w:autoSpaceDN/>
              <w:bidi w:val="0"/>
              <w:adjustRightInd/>
              <w:spacing w:beforeAutospacing="0" w:afterAutospacing="0" w:line="336" w:lineRule="auto"/>
              <w:jc w:val="center"/>
              <w:textAlignment w:val="auto"/>
              <w:rPr>
                <w:rFonts w:hint="eastAsia" w:ascii="仿宋" w:hAnsi="仿宋" w:eastAsia="仿宋" w:cs="仿宋"/>
                <w:b w:val="0"/>
                <w:bCs w:val="0"/>
                <w:color w:val="auto"/>
                <w:kern w:val="2"/>
                <w:sz w:val="24"/>
                <w:szCs w:val="24"/>
                <w:lang w:val="zh-CN" w:eastAsia="zh-CN" w:bidi="ar-SA"/>
              </w:rPr>
            </w:pPr>
            <w:r>
              <w:rPr>
                <w:rFonts w:hint="eastAsia" w:ascii="仿宋" w:hAnsi="仿宋" w:eastAsia="仿宋" w:cs="仿宋"/>
                <w:b w:val="0"/>
                <w:bCs w:val="0"/>
                <w:color w:val="auto"/>
                <w:sz w:val="24"/>
                <w:szCs w:val="24"/>
                <w:lang w:val="zh-CN"/>
              </w:rPr>
              <w:t>最高单价限价（</w:t>
            </w:r>
            <w:r>
              <w:rPr>
                <w:rFonts w:hint="eastAsia" w:ascii="仿宋" w:hAnsi="仿宋" w:eastAsia="仿宋" w:cs="仿宋"/>
                <w:b w:val="0"/>
                <w:bCs w:val="0"/>
                <w:color w:val="auto"/>
                <w:sz w:val="24"/>
                <w:szCs w:val="24"/>
                <w:lang w:val="en-US" w:eastAsia="zh-CN"/>
              </w:rPr>
              <w:t>元</w:t>
            </w:r>
            <w:r>
              <w:rPr>
                <w:rFonts w:hint="eastAsia" w:ascii="仿宋" w:hAnsi="仿宋" w:eastAsia="仿宋" w:cs="仿宋"/>
                <w:b w:val="0"/>
                <w:bCs w:val="0"/>
                <w:color w:val="auto"/>
                <w:sz w:val="24"/>
                <w:szCs w:val="24"/>
                <w:lang w:val="zh-CN"/>
              </w:rPr>
              <w:t>）</w:t>
            </w:r>
          </w:p>
        </w:tc>
      </w:tr>
      <w:tr w14:paraId="031A6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6" w:hRule="atLeast"/>
          <w:jc w:val="center"/>
        </w:trPr>
        <w:tc>
          <w:tcPr>
            <w:tcW w:w="1554" w:type="pct"/>
            <w:noWrap w:val="0"/>
            <w:vAlign w:val="center"/>
          </w:tcPr>
          <w:p w14:paraId="16B62863">
            <w:pPr>
              <w:pageBreakBefore w:val="0"/>
              <w:widowControl w:val="0"/>
              <w:kinsoku/>
              <w:wordWrap/>
              <w:overflowPunct/>
              <w:topLinePunct w:val="0"/>
              <w:autoSpaceDE/>
              <w:autoSpaceDN/>
              <w:bidi w:val="0"/>
              <w:adjustRightInd/>
              <w:spacing w:beforeAutospacing="0" w:afterAutospacing="0" w:line="336" w:lineRule="auto"/>
              <w:jc w:val="center"/>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广州市增城区中医医院2025年医保业务系统接口改造建设项目</w:t>
            </w:r>
          </w:p>
        </w:tc>
        <w:tc>
          <w:tcPr>
            <w:tcW w:w="937" w:type="pct"/>
            <w:noWrap w:val="0"/>
            <w:vAlign w:val="center"/>
          </w:tcPr>
          <w:p w14:paraId="073065F7">
            <w:pPr>
              <w:pageBreakBefore w:val="0"/>
              <w:widowControl w:val="0"/>
              <w:kinsoku/>
              <w:wordWrap/>
              <w:overflowPunct/>
              <w:topLinePunct w:val="0"/>
              <w:autoSpaceDE/>
              <w:autoSpaceDN/>
              <w:bidi w:val="0"/>
              <w:adjustRightInd/>
              <w:spacing w:beforeAutospacing="0" w:afterAutospacing="0" w:line="336" w:lineRule="auto"/>
              <w:jc w:val="center"/>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sz w:val="24"/>
                <w:szCs w:val="24"/>
                <w:lang w:val="en-US" w:eastAsia="zh-CN"/>
              </w:rPr>
              <w:t>1</w:t>
            </w:r>
          </w:p>
        </w:tc>
        <w:tc>
          <w:tcPr>
            <w:tcW w:w="991" w:type="pct"/>
            <w:shd w:val="clear" w:color="auto" w:fill="auto"/>
            <w:noWrap w:val="0"/>
            <w:vAlign w:val="center"/>
          </w:tcPr>
          <w:p w14:paraId="5559B922">
            <w:pPr>
              <w:pageBreakBefore w:val="0"/>
              <w:widowControl/>
              <w:kinsoku/>
              <w:wordWrap/>
              <w:overflowPunct/>
              <w:topLinePunct w:val="0"/>
              <w:autoSpaceDE/>
              <w:autoSpaceDN/>
              <w:bidi w:val="0"/>
              <w:adjustRightInd/>
              <w:spacing w:beforeAutospacing="0" w:afterAutospacing="0"/>
              <w:jc w:val="center"/>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项</w:t>
            </w:r>
          </w:p>
        </w:tc>
        <w:tc>
          <w:tcPr>
            <w:tcW w:w="1517" w:type="pct"/>
            <w:shd w:val="clear" w:color="auto" w:fill="auto"/>
            <w:noWrap w:val="0"/>
            <w:vAlign w:val="center"/>
          </w:tcPr>
          <w:p w14:paraId="5C51BC59">
            <w:pPr>
              <w:pageBreakBefore w:val="0"/>
              <w:widowControl/>
              <w:kinsoku/>
              <w:wordWrap/>
              <w:overflowPunct/>
              <w:topLinePunct w:val="0"/>
              <w:autoSpaceDE/>
              <w:autoSpaceDN/>
              <w:bidi w:val="0"/>
              <w:adjustRightInd/>
              <w:spacing w:beforeAutospacing="0" w:afterAutospacing="0"/>
              <w:jc w:val="center"/>
              <w:textAlignment w:val="auto"/>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sz w:val="24"/>
                <w:szCs w:val="24"/>
                <w:lang w:val="en-US" w:eastAsia="zh-CN"/>
              </w:rPr>
              <w:t>673400</w:t>
            </w:r>
          </w:p>
        </w:tc>
      </w:tr>
      <w:tr w14:paraId="3E774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6" w:hRule="atLeast"/>
          <w:jc w:val="center"/>
        </w:trPr>
        <w:tc>
          <w:tcPr>
            <w:tcW w:w="3482" w:type="pct"/>
            <w:gridSpan w:val="3"/>
            <w:noWrap w:val="0"/>
            <w:vAlign w:val="center"/>
          </w:tcPr>
          <w:p w14:paraId="1A9FE751">
            <w:pPr>
              <w:pageBreakBefore w:val="0"/>
              <w:widowControl/>
              <w:kinsoku/>
              <w:wordWrap/>
              <w:overflowPunct/>
              <w:topLinePunct w:val="0"/>
              <w:autoSpaceDE/>
              <w:autoSpaceDN/>
              <w:bidi w:val="0"/>
              <w:adjustRightInd/>
              <w:spacing w:beforeAutospacing="0" w:afterAutospacing="0"/>
              <w:jc w:val="center"/>
              <w:textAlignment w:val="auto"/>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合计</w:t>
            </w:r>
          </w:p>
        </w:tc>
        <w:tc>
          <w:tcPr>
            <w:tcW w:w="1517" w:type="pct"/>
            <w:shd w:val="clear" w:color="auto" w:fill="auto"/>
            <w:noWrap w:val="0"/>
            <w:vAlign w:val="center"/>
          </w:tcPr>
          <w:p w14:paraId="064DA35E">
            <w:pPr>
              <w:pageBreakBefore w:val="0"/>
              <w:widowControl/>
              <w:kinsoku/>
              <w:wordWrap/>
              <w:overflowPunct/>
              <w:topLinePunct w:val="0"/>
              <w:autoSpaceDE/>
              <w:autoSpaceDN/>
              <w:bidi w:val="0"/>
              <w:adjustRightInd/>
              <w:spacing w:beforeAutospacing="0" w:afterAutospacing="0"/>
              <w:jc w:val="center"/>
              <w:textAlignment w:val="auto"/>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673400</w:t>
            </w:r>
          </w:p>
        </w:tc>
      </w:tr>
    </w:tbl>
    <w:p w14:paraId="1C73BE21">
      <w:pPr>
        <w:pageBreakBefore w:val="0"/>
        <w:widowControl w:val="0"/>
        <w:numPr>
          <w:ilvl w:val="0"/>
          <w:numId w:val="0"/>
        </w:numPr>
        <w:kinsoku/>
        <w:wordWrap/>
        <w:overflowPunct/>
        <w:topLinePunct w:val="0"/>
        <w:autoSpaceDE/>
        <w:autoSpaceDN/>
        <w:bidi w:val="0"/>
        <w:adjustRightInd/>
        <w:spacing w:beforeAutospacing="0" w:afterAutospacing="0" w:line="360" w:lineRule="auto"/>
        <w:ind w:leftChars="0" w:firstLine="480" w:firstLineChars="200"/>
        <w:jc w:val="both"/>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费用说明：</w:t>
      </w:r>
    </w:p>
    <w:p w14:paraId="6DEE16BD">
      <w:pPr>
        <w:pageBreakBefore w:val="0"/>
        <w:widowControl w:val="0"/>
        <w:numPr>
          <w:ilvl w:val="0"/>
          <w:numId w:val="0"/>
        </w:numPr>
        <w:kinsoku/>
        <w:wordWrap/>
        <w:overflowPunct/>
        <w:topLinePunct w:val="0"/>
        <w:autoSpaceDE/>
        <w:autoSpaceDN/>
        <w:bidi w:val="0"/>
        <w:adjustRightInd/>
        <w:spacing w:beforeAutospacing="0" w:afterAutospacing="0" w:line="360" w:lineRule="auto"/>
        <w:ind w:firstLine="480" w:firstLineChars="200"/>
        <w:jc w:val="both"/>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1、报价总额包括技术服务费、技术人员的工勤费用（包括工资、福利、交通、住宿、通讯费用等）、各项税费及合同实施过程中不可预见费用等。</w:t>
      </w:r>
    </w:p>
    <w:p w14:paraId="114BE91D">
      <w:pPr>
        <w:pageBreakBefore w:val="0"/>
        <w:widowControl w:val="0"/>
        <w:numPr>
          <w:ilvl w:val="0"/>
          <w:numId w:val="0"/>
        </w:numPr>
        <w:kinsoku/>
        <w:wordWrap/>
        <w:overflowPunct/>
        <w:topLinePunct w:val="0"/>
        <w:autoSpaceDE/>
        <w:autoSpaceDN/>
        <w:bidi w:val="0"/>
        <w:adjustRightInd/>
        <w:spacing w:beforeAutospacing="0" w:afterAutospacing="0" w:line="360" w:lineRule="auto"/>
        <w:ind w:firstLine="480" w:firstLineChars="200"/>
        <w:jc w:val="both"/>
        <w:textAlignment w:val="auto"/>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w:t>
      </w:r>
      <w:r>
        <w:rPr>
          <w:rFonts w:hint="default" w:ascii="仿宋" w:hAnsi="仿宋" w:eastAsia="仿宋" w:cs="仿宋"/>
          <w:b w:val="0"/>
          <w:bCs w:val="0"/>
          <w:color w:val="auto"/>
          <w:kern w:val="2"/>
          <w:sz w:val="24"/>
          <w:szCs w:val="24"/>
          <w:lang w:val="en-US" w:eastAsia="zh-CN" w:bidi="ar-SA"/>
        </w:rPr>
        <w:t>、本项目的开发和实施服务（包括但不限于系统部署、联调、培训等服务）。如涉及到采购人HIS系统原厂家的技术支持，产生的费用全由成交供应商负责，采购人不承担与此相关的任何费用。</w:t>
      </w:r>
    </w:p>
    <w:p w14:paraId="5BBE71CB">
      <w:pPr>
        <w:keepNext w:val="0"/>
        <w:keepLines w:val="0"/>
        <w:pageBreakBefore w:val="0"/>
        <w:widowControl w:val="0"/>
        <w:numPr>
          <w:ilvl w:val="0"/>
          <w:numId w:val="0"/>
        </w:numPr>
        <w:kinsoku/>
        <w:wordWrap/>
        <w:overflowPunct/>
        <w:topLinePunct w:val="0"/>
        <w:autoSpaceDE/>
        <w:autoSpaceDN/>
        <w:bidi w:val="0"/>
        <w:adjustRightInd/>
        <w:spacing w:beforeAutospacing="0" w:afterAutospacing="0" w:line="560" w:lineRule="exact"/>
        <w:ind w:firstLine="562" w:firstLineChars="200"/>
        <w:jc w:val="both"/>
        <w:textAlignment w:val="auto"/>
        <w:outlineLvl w:val="0"/>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三、资质要求</w:t>
      </w:r>
    </w:p>
    <w:p w14:paraId="4AF7A221">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（一）符合《中华人民共和国政府采购法》第二十二条规定的条件：</w:t>
      </w:r>
    </w:p>
    <w:p w14:paraId="0F84C3A5">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具有独立承担民事责任的能力：依据《资格条件承诺函》及以下相关证照之一：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企业法人提供企业法人营业执照；</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事业法人提供事业法人登记证；</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其他组织提供其他组织的营业执照或执业许可证；</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自然人提供居民身份证等。分支机构投标的，还须提供分支机构的营业执照（执业许可证）扫描件及总公司（总所）出具给分支机构的授权书。</w:t>
      </w:r>
    </w:p>
    <w:p w14:paraId="52227C0A">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有依法缴纳税收和社会保障资金的良好记录：依据《资格条件承诺函》。</w:t>
      </w:r>
    </w:p>
    <w:p w14:paraId="642FC7E6">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具有良好的商业信誉和健全的财务会计制度：依据《资格条件承诺函》。</w:t>
      </w:r>
    </w:p>
    <w:p w14:paraId="0A8E4CBD">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履行合同所必需的设备和专业技术能力：依据《资格条件承诺函》。</w:t>
      </w:r>
    </w:p>
    <w:p w14:paraId="36F6854D">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参加采购活动前3年内，在经营活动中没有重大违法记录：依据《资格条件承诺函》。</w:t>
      </w:r>
    </w:p>
    <w:p w14:paraId="014AB985">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（二）本项目特定的资格要求：</w:t>
      </w:r>
    </w:p>
    <w:p w14:paraId="4CABA5C8">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default" w:ascii="仿宋" w:hAnsi="仿宋" w:eastAsia="仿宋" w:cs="仿宋"/>
          <w:color w:val="FF0000"/>
          <w:sz w:val="24"/>
          <w:szCs w:val="24"/>
          <w:highlight w:val="none"/>
          <w:lang w:val="en-US" w:eastAsia="zh-CN"/>
        </w:rPr>
      </w:pPr>
      <w:r>
        <w:rPr>
          <w:rFonts w:hint="eastAsia" w:ascii="仿宋" w:hAnsi="仿宋" w:eastAsia="仿宋" w:cs="仿宋"/>
          <w:color w:val="FF0000"/>
          <w:sz w:val="24"/>
          <w:szCs w:val="24"/>
          <w:highlight w:val="none"/>
          <w:lang w:val="en-US" w:eastAsia="zh-CN"/>
        </w:rPr>
        <w:t>1.为确保本项目按期交付，需提供采购人HIS系统原厂家出具的接口授权，以保障系统对接合规性与实施效率。若投标时暂未取得授权，请提供承诺函，承诺中标后提供授权文件。</w:t>
      </w:r>
    </w:p>
    <w:p w14:paraId="2A768D5F">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2.供应商具备与项目相对应的信息技术服务经营资质。</w:t>
      </w:r>
    </w:p>
    <w:p w14:paraId="79525604">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供应商未被列入“信用中国”网站中“记录失信被执行人或重大税收违法失信主体或政府采购严重违法失信行为”的记录名单；不处于“中国政府采购网”中“政府采购严重违法失信行为信息记录”的禁止参加政府采购活动期间（供应商须提供相关证明截图资料）</w:t>
      </w:r>
      <w:r>
        <w:rPr>
          <w:rFonts w:hint="eastAsia" w:ascii="仿宋" w:hAnsi="仿宋" w:eastAsia="仿宋" w:cs="仿宋"/>
          <w:color w:val="auto"/>
          <w:sz w:val="24"/>
          <w:szCs w:val="24"/>
          <w:highlight w:val="none"/>
        </w:rPr>
        <w:t>。</w:t>
      </w:r>
    </w:p>
    <w:p w14:paraId="76B90CE7">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bCs/>
          <w:color w:val="auto"/>
          <w:sz w:val="24"/>
          <w:szCs w:val="24"/>
          <w:highlight w:val="none"/>
        </w:rPr>
        <w:t>本项目不接受联合体投标</w:t>
      </w:r>
      <w:r>
        <w:rPr>
          <w:rFonts w:hint="eastAsia" w:ascii="仿宋" w:hAnsi="仿宋" w:eastAsia="仿宋" w:cs="仿宋"/>
          <w:color w:val="auto"/>
          <w:sz w:val="24"/>
          <w:szCs w:val="24"/>
          <w:highlight w:val="none"/>
        </w:rPr>
        <w:t>。</w:t>
      </w:r>
    </w:p>
    <w:p w14:paraId="55D33CC9">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本项目不设集体考察现场，不组织现场答疑会。</w:t>
      </w:r>
    </w:p>
    <w:p w14:paraId="7AC62B0D">
      <w:pPr>
        <w:keepNext w:val="0"/>
        <w:keepLines w:val="0"/>
        <w:pageBreakBefore w:val="0"/>
        <w:widowControl/>
        <w:kinsoku/>
        <w:wordWrap/>
        <w:overflowPunct/>
        <w:topLinePunct w:val="0"/>
        <w:autoSpaceDE/>
        <w:autoSpaceDN/>
        <w:bidi w:val="0"/>
        <w:adjustRightInd/>
        <w:snapToGrid w:val="0"/>
        <w:spacing w:beforeAutospacing="0" w:afterAutospacing="0" w:line="560" w:lineRule="exact"/>
        <w:ind w:firstLine="562" w:firstLineChars="200"/>
        <w:textAlignment w:val="auto"/>
        <w:outlineLvl w:val="0"/>
        <w:rPr>
          <w:rFonts w:hint="eastAsia" w:ascii="仿宋" w:hAnsi="仿宋" w:eastAsia="仿宋" w:cs="仿宋"/>
          <w:b/>
          <w:bCs/>
          <w:color w:val="auto"/>
          <w:kern w:val="0"/>
          <w:sz w:val="28"/>
          <w:szCs w:val="28"/>
          <w:lang w:val="en-US" w:eastAsia="zh-CN"/>
        </w:rPr>
      </w:pPr>
      <w:r>
        <w:rPr>
          <w:rFonts w:hint="eastAsia" w:ascii="仿宋" w:hAnsi="仿宋" w:eastAsia="仿宋" w:cs="仿宋"/>
          <w:b/>
          <w:bCs/>
          <w:color w:val="auto"/>
          <w:kern w:val="0"/>
          <w:sz w:val="28"/>
          <w:szCs w:val="28"/>
          <w:lang w:val="en-US" w:eastAsia="zh-CN"/>
        </w:rPr>
        <w:t>四、付款方式</w:t>
      </w:r>
    </w:p>
    <w:p w14:paraId="0622823D">
      <w:pPr>
        <w:keepNext w:val="0"/>
        <w:keepLines w:val="0"/>
        <w:pageBreakBefore w:val="0"/>
        <w:widowControl/>
        <w:kinsoku/>
        <w:wordWrap/>
        <w:overflowPunct/>
        <w:topLinePunct w:val="0"/>
        <w:autoSpaceDE/>
        <w:autoSpaceDN/>
        <w:bidi w:val="0"/>
        <w:adjustRightInd/>
        <w:snapToGrid w:val="0"/>
        <w:spacing w:beforeAutospacing="0" w:afterAutospacing="0" w:line="560" w:lineRule="exact"/>
        <w:ind w:firstLine="560"/>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1、项目合同签订，并收到乙方开具的正式发票后60个工作日内，支付合同总金额30%；</w:t>
      </w:r>
    </w:p>
    <w:p w14:paraId="32FCB429">
      <w:pPr>
        <w:keepNext w:val="0"/>
        <w:keepLines w:val="0"/>
        <w:pageBreakBefore w:val="0"/>
        <w:widowControl/>
        <w:kinsoku/>
        <w:wordWrap/>
        <w:overflowPunct/>
        <w:topLinePunct w:val="0"/>
        <w:autoSpaceDE/>
        <w:autoSpaceDN/>
        <w:bidi w:val="0"/>
        <w:adjustRightInd/>
        <w:snapToGrid w:val="0"/>
        <w:spacing w:beforeAutospacing="0" w:afterAutospacing="0" w:line="560" w:lineRule="exact"/>
        <w:ind w:firstLine="560"/>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2、项目合同签订半年，并收到乙方开具的正式发票和运维过程文件后60个工作日内，将支付本项目总金额的30%；</w:t>
      </w:r>
    </w:p>
    <w:p w14:paraId="6BABE455">
      <w:pPr>
        <w:keepNext w:val="0"/>
        <w:keepLines w:val="0"/>
        <w:pageBreakBefore w:val="0"/>
        <w:widowControl/>
        <w:kinsoku/>
        <w:wordWrap/>
        <w:overflowPunct/>
        <w:topLinePunct w:val="0"/>
        <w:autoSpaceDE/>
        <w:autoSpaceDN/>
        <w:bidi w:val="0"/>
        <w:adjustRightInd/>
        <w:snapToGrid w:val="0"/>
        <w:spacing w:beforeAutospacing="0" w:afterAutospacing="0" w:line="560" w:lineRule="exact"/>
        <w:ind w:firstLine="560"/>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3、项目在终验通过，并收到乙方开具的正式发票后60个工作日内，支付本项目总金额30%。</w:t>
      </w:r>
    </w:p>
    <w:p w14:paraId="1A7537F4">
      <w:pPr>
        <w:keepNext w:val="0"/>
        <w:keepLines w:val="0"/>
        <w:pageBreakBefore w:val="0"/>
        <w:widowControl/>
        <w:kinsoku/>
        <w:wordWrap/>
        <w:overflowPunct/>
        <w:topLinePunct w:val="0"/>
        <w:autoSpaceDE/>
        <w:autoSpaceDN/>
        <w:bidi w:val="0"/>
        <w:adjustRightInd/>
        <w:snapToGrid w:val="0"/>
        <w:spacing w:beforeAutospacing="0" w:afterAutospacing="0" w:line="560" w:lineRule="exact"/>
        <w:ind w:firstLine="560"/>
        <w:textAlignment w:val="auto"/>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4、项目在终验通过后一年，并收到乙方开具的正式发票后60个工作日内，支付本项目总金额10%。</w:t>
      </w:r>
    </w:p>
    <w:p w14:paraId="1D3B440A">
      <w:pPr>
        <w:keepNext w:val="0"/>
        <w:keepLines w:val="0"/>
        <w:pageBreakBefore w:val="0"/>
        <w:widowControl/>
        <w:kinsoku/>
        <w:wordWrap/>
        <w:overflowPunct/>
        <w:topLinePunct w:val="0"/>
        <w:autoSpaceDE/>
        <w:autoSpaceDN/>
        <w:bidi w:val="0"/>
        <w:adjustRightInd/>
        <w:snapToGrid w:val="0"/>
        <w:spacing w:beforeAutospacing="0" w:afterAutospacing="0" w:line="560" w:lineRule="exact"/>
        <w:ind w:firstLine="560"/>
        <w:textAlignment w:val="auto"/>
        <w:outlineLvl w:val="0"/>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五、质量保证及售后服务</w:t>
      </w:r>
    </w:p>
    <w:p w14:paraId="137E7E2F">
      <w:pPr>
        <w:keepNext w:val="0"/>
        <w:keepLines w:val="0"/>
        <w:pageBreakBefore w:val="0"/>
        <w:widowControl/>
        <w:kinsoku/>
        <w:wordWrap/>
        <w:overflowPunct/>
        <w:topLinePunct w:val="0"/>
        <w:autoSpaceDE/>
        <w:autoSpaceDN/>
        <w:bidi w:val="0"/>
        <w:adjustRightInd/>
        <w:snapToGrid w:val="0"/>
        <w:spacing w:beforeAutospacing="0" w:afterAutospacing="0" w:line="560" w:lineRule="exact"/>
        <w:ind w:firstLine="560"/>
        <w:textAlignment w:val="auto"/>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项目验收通过之日起一年售后服务期，乙方提供7*24小时技术支持服务，在远程不能处理的情况下，乙方应半小时派人到现场进行处理。服务范围包含项目范围内的软件系统、系统集成和接口对接、设备对接等全部内容的运维、开发、测评、整改、实施。</w:t>
      </w:r>
    </w:p>
    <w:p w14:paraId="6422AF2B">
      <w:pPr>
        <w:pageBreakBefore w:val="0"/>
        <w:widowControl w:val="0"/>
        <w:numPr>
          <w:ilvl w:val="0"/>
          <w:numId w:val="0"/>
        </w:numPr>
        <w:kinsoku/>
        <w:wordWrap/>
        <w:overflowPunct/>
        <w:topLinePunct w:val="0"/>
        <w:autoSpaceDE/>
        <w:autoSpaceDN/>
        <w:bidi w:val="0"/>
        <w:adjustRightInd/>
        <w:spacing w:beforeAutospacing="0" w:afterAutospacing="0" w:line="360" w:lineRule="auto"/>
        <w:ind w:leftChars="300"/>
        <w:jc w:val="both"/>
        <w:textAlignment w:val="auto"/>
        <w:outlineLvl w:val="0"/>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六、项目建设内容</w:t>
      </w:r>
    </w:p>
    <w:p w14:paraId="224D5F59">
      <w:pPr>
        <w:pageBreakBefore w:val="0"/>
        <w:widowControl w:val="0"/>
        <w:numPr>
          <w:ilvl w:val="0"/>
          <w:numId w:val="0"/>
        </w:numPr>
        <w:kinsoku/>
        <w:wordWrap/>
        <w:overflowPunct/>
        <w:topLinePunct w:val="0"/>
        <w:autoSpaceDE/>
        <w:autoSpaceDN/>
        <w:bidi w:val="0"/>
        <w:adjustRightInd/>
        <w:spacing w:beforeAutospacing="0" w:afterAutospacing="0" w:line="360" w:lineRule="auto"/>
        <w:ind w:leftChars="300"/>
        <w:jc w:val="both"/>
        <w:textAlignment w:val="auto"/>
        <w:outlineLvl w:val="0"/>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（一）建设内容清单</w:t>
      </w:r>
    </w:p>
    <w:tbl>
      <w:tblPr>
        <w:tblStyle w:val="4"/>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7"/>
        <w:gridCol w:w="1630"/>
        <w:gridCol w:w="988"/>
        <w:gridCol w:w="1652"/>
        <w:gridCol w:w="3685"/>
      </w:tblGrid>
      <w:tr w14:paraId="5FD3C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1367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序号</w:t>
            </w:r>
          </w:p>
        </w:tc>
        <w:tc>
          <w:tcPr>
            <w:tcW w:w="9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793E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项目名称</w:t>
            </w:r>
          </w:p>
        </w:tc>
        <w:tc>
          <w:tcPr>
            <w:tcW w:w="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4ADA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系统名称</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4B86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功能模块（含软硬件建设内容）</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2F9D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功能说明</w:t>
            </w:r>
          </w:p>
        </w:tc>
      </w:tr>
      <w:tr w14:paraId="011C3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327" w:type="pct"/>
            <w:vMerge w:val="restart"/>
            <w:tcBorders>
              <w:top w:val="single" w:color="000000" w:sz="4" w:space="0"/>
              <w:left w:val="single" w:color="000000" w:sz="4" w:space="0"/>
              <w:right w:val="single" w:color="000000" w:sz="4" w:space="0"/>
            </w:tcBorders>
            <w:shd w:val="clear" w:color="auto" w:fill="auto"/>
            <w:vAlign w:val="center"/>
          </w:tcPr>
          <w:p w14:paraId="71A964B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w:t>
            </w:r>
          </w:p>
        </w:tc>
        <w:tc>
          <w:tcPr>
            <w:tcW w:w="957" w:type="pct"/>
            <w:vMerge w:val="restart"/>
            <w:tcBorders>
              <w:top w:val="single" w:color="000000" w:sz="4" w:space="0"/>
              <w:left w:val="single" w:color="000000" w:sz="4" w:space="0"/>
              <w:right w:val="single" w:color="000000" w:sz="4" w:space="0"/>
            </w:tcBorders>
            <w:shd w:val="clear" w:color="auto" w:fill="auto"/>
            <w:vAlign w:val="center"/>
          </w:tcPr>
          <w:p w14:paraId="06B82BD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广州市增城区中医医院2025年医保业务系统接口改造建设项目</w:t>
            </w:r>
          </w:p>
        </w:tc>
        <w:tc>
          <w:tcPr>
            <w:tcW w:w="580" w:type="pct"/>
            <w:vMerge w:val="restart"/>
            <w:tcBorders>
              <w:top w:val="single" w:color="000000" w:sz="4" w:space="0"/>
              <w:left w:val="single" w:color="000000" w:sz="4" w:space="0"/>
              <w:right w:val="single" w:color="000000" w:sz="4" w:space="0"/>
            </w:tcBorders>
            <w:shd w:val="clear" w:color="auto" w:fill="auto"/>
            <w:vAlign w:val="center"/>
          </w:tcPr>
          <w:p w14:paraId="5571047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医保业务系统接口改造系统</w:t>
            </w: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7395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w:t>
            </w:r>
            <w:r>
              <w:rPr>
                <w:rFonts w:hint="default" w:ascii="仿宋_GB2312" w:hAnsi="黑体" w:eastAsia="仿宋_GB2312" w:cs="黑体"/>
                <w:b w:val="0"/>
                <w:bCs w:val="0"/>
                <w:color w:val="auto"/>
                <w:kern w:val="0"/>
                <w:sz w:val="21"/>
                <w:szCs w:val="21"/>
                <w:highlight w:val="none"/>
                <w:lang w:val="en-US" w:eastAsia="zh-CN"/>
              </w:rPr>
              <w:t>无感支付功能</w:t>
            </w:r>
            <w:r>
              <w:rPr>
                <w:rFonts w:hint="eastAsia" w:ascii="仿宋_GB2312" w:hAnsi="黑体" w:eastAsia="仿宋_GB2312" w:cs="黑体"/>
                <w:b w:val="0"/>
                <w:bCs w:val="0"/>
                <w:color w:val="auto"/>
                <w:kern w:val="0"/>
                <w:sz w:val="21"/>
                <w:szCs w:val="21"/>
                <w:highlight w:val="none"/>
                <w:lang w:val="en-US" w:eastAsia="zh-CN"/>
              </w:rPr>
              <w:t>模块</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F0F0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广州市医疗保险服务中心关于推进就医信用无感支付开展医保医疗费用结算业务的通知</w:t>
            </w:r>
            <w:r>
              <w:rPr>
                <w:rFonts w:hint="eastAsia" w:ascii="仿宋_GB2312" w:hAnsi="黑体" w:eastAsia="仿宋_GB2312" w:cs="黑体"/>
                <w:b w:val="0"/>
                <w:bCs w:val="0"/>
                <w:color w:val="auto"/>
                <w:kern w:val="0"/>
                <w:sz w:val="21"/>
                <w:szCs w:val="21"/>
                <w:highlight w:val="none"/>
                <w:lang w:val="en-US" w:eastAsia="zh-CN"/>
              </w:rPr>
              <w:t>》的需求</w:t>
            </w:r>
          </w:p>
        </w:tc>
      </w:tr>
      <w:tr w14:paraId="46614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27" w:type="pct"/>
            <w:vMerge w:val="continue"/>
            <w:tcBorders>
              <w:left w:val="single" w:color="000000" w:sz="4" w:space="0"/>
              <w:right w:val="single" w:color="000000" w:sz="4" w:space="0"/>
            </w:tcBorders>
            <w:shd w:val="clear" w:color="auto" w:fill="auto"/>
            <w:vAlign w:val="center"/>
          </w:tcPr>
          <w:p w14:paraId="35B2D6B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57" w:type="pct"/>
            <w:vMerge w:val="continue"/>
            <w:tcBorders>
              <w:left w:val="single" w:color="000000" w:sz="4" w:space="0"/>
              <w:right w:val="single" w:color="000000" w:sz="4" w:space="0"/>
            </w:tcBorders>
            <w:shd w:val="clear" w:color="auto" w:fill="auto"/>
            <w:vAlign w:val="center"/>
          </w:tcPr>
          <w:p w14:paraId="10EF484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80" w:type="pct"/>
            <w:vMerge w:val="continue"/>
            <w:tcBorders>
              <w:left w:val="single" w:color="000000" w:sz="4" w:space="0"/>
              <w:right w:val="single" w:color="000000" w:sz="4" w:space="0"/>
            </w:tcBorders>
            <w:shd w:val="clear" w:color="auto" w:fill="auto"/>
            <w:vAlign w:val="top"/>
          </w:tcPr>
          <w:p w14:paraId="05F45A4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C3C6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2、新生儿医疗费用医保结算服务对接功能模块</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F035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广州市医疗保险服务中心关于进一步做好新生儿医疗费用医保结算服务的通知</w:t>
            </w:r>
            <w:r>
              <w:rPr>
                <w:rFonts w:hint="eastAsia" w:ascii="仿宋_GB2312" w:hAnsi="黑体" w:eastAsia="仿宋_GB2312" w:cs="黑体"/>
                <w:b w:val="0"/>
                <w:bCs w:val="0"/>
                <w:color w:val="auto"/>
                <w:kern w:val="0"/>
                <w:sz w:val="21"/>
                <w:szCs w:val="21"/>
                <w:highlight w:val="none"/>
                <w:lang w:val="en-US" w:eastAsia="zh-CN"/>
              </w:rPr>
              <w:t>》的需求</w:t>
            </w:r>
          </w:p>
        </w:tc>
      </w:tr>
      <w:tr w14:paraId="0ADA2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27" w:type="pct"/>
            <w:vMerge w:val="continue"/>
            <w:tcBorders>
              <w:left w:val="single" w:color="000000" w:sz="4" w:space="0"/>
              <w:right w:val="single" w:color="000000" w:sz="4" w:space="0"/>
            </w:tcBorders>
            <w:shd w:val="clear" w:color="auto" w:fill="auto"/>
            <w:vAlign w:val="center"/>
          </w:tcPr>
          <w:p w14:paraId="00704D5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57" w:type="pct"/>
            <w:vMerge w:val="continue"/>
            <w:tcBorders>
              <w:left w:val="single" w:color="000000" w:sz="4" w:space="0"/>
              <w:right w:val="single" w:color="000000" w:sz="4" w:space="0"/>
            </w:tcBorders>
            <w:shd w:val="clear" w:color="auto" w:fill="auto"/>
            <w:vAlign w:val="center"/>
          </w:tcPr>
          <w:p w14:paraId="4DD17E9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80" w:type="pct"/>
            <w:vMerge w:val="continue"/>
            <w:tcBorders>
              <w:left w:val="single" w:color="000000" w:sz="4" w:space="0"/>
              <w:right w:val="single" w:color="000000" w:sz="4" w:space="0"/>
            </w:tcBorders>
            <w:shd w:val="clear" w:color="auto" w:fill="auto"/>
            <w:vAlign w:val="top"/>
          </w:tcPr>
          <w:p w14:paraId="09CB4BA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B27A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3、医疗收费电子结算凭证应用功能模块</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16C0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广州市医疗保险服务中心关于进一步深入开展医疗收费电子结算凭证应用的通知</w:t>
            </w:r>
            <w:r>
              <w:rPr>
                <w:rFonts w:hint="eastAsia" w:ascii="仿宋_GB2312" w:hAnsi="黑体" w:eastAsia="仿宋_GB2312" w:cs="黑体"/>
                <w:b w:val="0"/>
                <w:bCs w:val="0"/>
                <w:color w:val="auto"/>
                <w:kern w:val="0"/>
                <w:sz w:val="21"/>
                <w:szCs w:val="21"/>
                <w:highlight w:val="none"/>
                <w:lang w:val="en-US" w:eastAsia="zh-CN"/>
              </w:rPr>
              <w:t>》的需求</w:t>
            </w:r>
          </w:p>
        </w:tc>
      </w:tr>
      <w:tr w14:paraId="1BEE1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327" w:type="pct"/>
            <w:vMerge w:val="continue"/>
            <w:tcBorders>
              <w:left w:val="single" w:color="000000" w:sz="4" w:space="0"/>
              <w:right w:val="single" w:color="000000" w:sz="4" w:space="0"/>
            </w:tcBorders>
            <w:shd w:val="clear" w:color="auto" w:fill="auto"/>
            <w:vAlign w:val="center"/>
          </w:tcPr>
          <w:p w14:paraId="4ADEF0D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57" w:type="pct"/>
            <w:vMerge w:val="continue"/>
            <w:tcBorders>
              <w:left w:val="single" w:color="000000" w:sz="4" w:space="0"/>
              <w:right w:val="single" w:color="000000" w:sz="4" w:space="0"/>
            </w:tcBorders>
            <w:shd w:val="clear" w:color="auto" w:fill="auto"/>
            <w:vAlign w:val="center"/>
          </w:tcPr>
          <w:p w14:paraId="27B1364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80" w:type="pct"/>
            <w:vMerge w:val="continue"/>
            <w:tcBorders>
              <w:left w:val="single" w:color="000000" w:sz="4" w:space="0"/>
              <w:right w:val="single" w:color="000000" w:sz="4" w:space="0"/>
            </w:tcBorders>
            <w:shd w:val="clear" w:color="auto" w:fill="auto"/>
            <w:vAlign w:val="top"/>
          </w:tcPr>
          <w:p w14:paraId="2A59ECA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AE8F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4、定点医疗机构医保药品</w:t>
            </w:r>
            <w:r>
              <w:rPr>
                <w:rFonts w:hint="default" w:ascii="仿宋_GB2312" w:hAnsi="黑体" w:eastAsia="仿宋_GB2312" w:cs="黑体"/>
                <w:b w:val="0"/>
                <w:bCs w:val="0"/>
                <w:color w:val="auto"/>
                <w:kern w:val="0"/>
                <w:sz w:val="21"/>
                <w:szCs w:val="21"/>
                <w:highlight w:val="none"/>
                <w:lang w:val="en-US" w:eastAsia="zh-CN"/>
              </w:rPr>
              <w:t>追溯码</w:t>
            </w:r>
            <w:r>
              <w:rPr>
                <w:rFonts w:hint="eastAsia" w:ascii="仿宋_GB2312" w:hAnsi="黑体" w:eastAsia="仿宋_GB2312" w:cs="黑体"/>
                <w:b w:val="0"/>
                <w:bCs w:val="0"/>
                <w:color w:val="auto"/>
                <w:kern w:val="0"/>
                <w:sz w:val="21"/>
                <w:szCs w:val="21"/>
                <w:highlight w:val="none"/>
                <w:lang w:val="en-US" w:eastAsia="zh-CN"/>
              </w:rPr>
              <w:t>信息采集对接功能模块</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C7FB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广州市医疗保险服务中心关于开展定点医疗机构医保药品追溯码信息采集试点工作的通知</w:t>
            </w:r>
            <w:r>
              <w:rPr>
                <w:rFonts w:hint="eastAsia" w:ascii="仿宋_GB2312" w:hAnsi="黑体" w:eastAsia="仿宋_GB2312" w:cs="黑体"/>
                <w:b w:val="0"/>
                <w:bCs w:val="0"/>
                <w:color w:val="auto"/>
                <w:kern w:val="0"/>
                <w:sz w:val="21"/>
                <w:szCs w:val="21"/>
                <w:highlight w:val="none"/>
                <w:lang w:val="en-US" w:eastAsia="zh-CN"/>
              </w:rPr>
              <w:t>》的需求</w:t>
            </w:r>
          </w:p>
        </w:tc>
      </w:tr>
      <w:tr w14:paraId="3692E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27" w:type="pct"/>
            <w:vMerge w:val="continue"/>
            <w:tcBorders>
              <w:left w:val="single" w:color="000000" w:sz="4" w:space="0"/>
              <w:right w:val="single" w:color="000000" w:sz="4" w:space="0"/>
            </w:tcBorders>
            <w:shd w:val="clear" w:color="auto" w:fill="auto"/>
            <w:vAlign w:val="center"/>
          </w:tcPr>
          <w:p w14:paraId="4FCEB54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57" w:type="pct"/>
            <w:vMerge w:val="continue"/>
            <w:tcBorders>
              <w:left w:val="single" w:color="000000" w:sz="4" w:space="0"/>
              <w:right w:val="single" w:color="000000" w:sz="4" w:space="0"/>
            </w:tcBorders>
            <w:shd w:val="clear" w:color="auto" w:fill="auto"/>
            <w:vAlign w:val="center"/>
          </w:tcPr>
          <w:p w14:paraId="3AD5161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80" w:type="pct"/>
            <w:vMerge w:val="continue"/>
            <w:tcBorders>
              <w:left w:val="single" w:color="000000" w:sz="4" w:space="0"/>
              <w:right w:val="single" w:color="000000" w:sz="4" w:space="0"/>
            </w:tcBorders>
            <w:shd w:val="clear" w:color="auto" w:fill="auto"/>
            <w:vAlign w:val="top"/>
          </w:tcPr>
          <w:p w14:paraId="4A4A6DC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C881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5、门诊特定病种编码统一应用功能模块</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6348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广州市医疗保险服务中心关于做好门诊特定病种编码统一工作的通知</w:t>
            </w:r>
            <w:r>
              <w:rPr>
                <w:rFonts w:hint="eastAsia" w:ascii="仿宋_GB2312" w:hAnsi="黑体" w:eastAsia="仿宋_GB2312" w:cs="黑体"/>
                <w:b w:val="0"/>
                <w:bCs w:val="0"/>
                <w:color w:val="auto"/>
                <w:kern w:val="0"/>
                <w:sz w:val="21"/>
                <w:szCs w:val="21"/>
                <w:highlight w:val="none"/>
                <w:lang w:val="en-US" w:eastAsia="zh-CN"/>
              </w:rPr>
              <w:t>》的需求</w:t>
            </w:r>
          </w:p>
        </w:tc>
      </w:tr>
      <w:tr w14:paraId="783E9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0" w:hRule="atLeast"/>
        </w:trPr>
        <w:tc>
          <w:tcPr>
            <w:tcW w:w="327" w:type="pct"/>
            <w:vMerge w:val="continue"/>
            <w:tcBorders>
              <w:left w:val="single" w:color="000000" w:sz="4" w:space="0"/>
              <w:right w:val="single" w:color="000000" w:sz="4" w:space="0"/>
            </w:tcBorders>
            <w:shd w:val="clear" w:color="auto" w:fill="auto"/>
            <w:vAlign w:val="center"/>
          </w:tcPr>
          <w:p w14:paraId="343E1B2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57" w:type="pct"/>
            <w:vMerge w:val="continue"/>
            <w:tcBorders>
              <w:left w:val="single" w:color="000000" w:sz="4" w:space="0"/>
              <w:right w:val="single" w:color="000000" w:sz="4" w:space="0"/>
            </w:tcBorders>
            <w:shd w:val="clear" w:color="auto" w:fill="auto"/>
            <w:vAlign w:val="center"/>
          </w:tcPr>
          <w:p w14:paraId="70B00BB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80" w:type="pct"/>
            <w:vMerge w:val="continue"/>
            <w:tcBorders>
              <w:left w:val="single" w:color="000000" w:sz="4" w:space="0"/>
              <w:right w:val="single" w:color="000000" w:sz="4" w:space="0"/>
            </w:tcBorders>
            <w:shd w:val="clear" w:color="auto" w:fill="auto"/>
            <w:vAlign w:val="top"/>
          </w:tcPr>
          <w:p w14:paraId="450FACB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9C94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6、医保电子凭证全流程应用接口改造功能模块</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C3A3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广东省医疗保障局转发国家医保局办公室关于开展医保电子凭证全流程应用“走流程、找堵点”活动的通知</w:t>
            </w:r>
            <w:r>
              <w:rPr>
                <w:rFonts w:hint="eastAsia" w:ascii="仿宋_GB2312" w:hAnsi="黑体" w:eastAsia="仿宋_GB2312" w:cs="黑体"/>
                <w:b w:val="0"/>
                <w:bCs w:val="0"/>
                <w:color w:val="auto"/>
                <w:kern w:val="0"/>
                <w:sz w:val="21"/>
                <w:szCs w:val="21"/>
                <w:highlight w:val="none"/>
                <w:lang w:val="en-US" w:eastAsia="zh-CN"/>
              </w:rPr>
              <w:t>》的需求</w:t>
            </w:r>
          </w:p>
        </w:tc>
      </w:tr>
      <w:tr w14:paraId="06F8E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327" w:type="pct"/>
            <w:vMerge w:val="continue"/>
            <w:tcBorders>
              <w:left w:val="single" w:color="000000" w:sz="4" w:space="0"/>
              <w:right w:val="single" w:color="000000" w:sz="4" w:space="0"/>
            </w:tcBorders>
            <w:shd w:val="clear" w:color="auto" w:fill="auto"/>
            <w:vAlign w:val="center"/>
          </w:tcPr>
          <w:p w14:paraId="34156C5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57" w:type="pct"/>
            <w:vMerge w:val="continue"/>
            <w:tcBorders>
              <w:left w:val="single" w:color="000000" w:sz="4" w:space="0"/>
              <w:right w:val="single" w:color="000000" w:sz="4" w:space="0"/>
            </w:tcBorders>
            <w:shd w:val="clear" w:color="auto" w:fill="auto"/>
            <w:vAlign w:val="center"/>
          </w:tcPr>
          <w:p w14:paraId="118C373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80" w:type="pct"/>
            <w:vMerge w:val="continue"/>
            <w:tcBorders>
              <w:left w:val="single" w:color="000000" w:sz="4" w:space="0"/>
              <w:right w:val="single" w:color="000000" w:sz="4" w:space="0"/>
            </w:tcBorders>
            <w:shd w:val="clear" w:color="auto" w:fill="auto"/>
            <w:vAlign w:val="top"/>
          </w:tcPr>
          <w:p w14:paraId="30DC631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55EB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7、国家医保谈判药品“双通道”接口改造功能模块</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76D7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广州市医疗保险服务中心关于进一步推进开展国家医保谈判药品“双通道”业务的通知</w:t>
            </w:r>
            <w:r>
              <w:rPr>
                <w:rFonts w:hint="eastAsia" w:ascii="仿宋_GB2312" w:hAnsi="黑体" w:eastAsia="仿宋_GB2312" w:cs="黑体"/>
                <w:b w:val="0"/>
                <w:bCs w:val="0"/>
                <w:color w:val="auto"/>
                <w:kern w:val="0"/>
                <w:sz w:val="21"/>
                <w:szCs w:val="21"/>
                <w:highlight w:val="none"/>
                <w:lang w:val="en-US" w:eastAsia="zh-CN"/>
              </w:rPr>
              <w:t>》的需求</w:t>
            </w:r>
          </w:p>
        </w:tc>
      </w:tr>
      <w:tr w14:paraId="4044F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27" w:type="pct"/>
            <w:vMerge w:val="continue"/>
            <w:tcBorders>
              <w:left w:val="single" w:color="000000" w:sz="4" w:space="0"/>
              <w:right w:val="single" w:color="000000" w:sz="4" w:space="0"/>
            </w:tcBorders>
            <w:shd w:val="clear" w:color="auto" w:fill="auto"/>
            <w:vAlign w:val="center"/>
          </w:tcPr>
          <w:p w14:paraId="5EAF5CF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57" w:type="pct"/>
            <w:vMerge w:val="continue"/>
            <w:tcBorders>
              <w:left w:val="single" w:color="000000" w:sz="4" w:space="0"/>
              <w:right w:val="single" w:color="000000" w:sz="4" w:space="0"/>
            </w:tcBorders>
            <w:shd w:val="clear" w:color="auto" w:fill="auto"/>
            <w:vAlign w:val="center"/>
          </w:tcPr>
          <w:p w14:paraId="4E1A270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80" w:type="pct"/>
            <w:vMerge w:val="continue"/>
            <w:tcBorders>
              <w:left w:val="single" w:color="000000" w:sz="4" w:space="0"/>
              <w:right w:val="single" w:color="000000" w:sz="4" w:space="0"/>
            </w:tcBorders>
            <w:shd w:val="clear" w:color="auto" w:fill="auto"/>
            <w:vAlign w:val="top"/>
          </w:tcPr>
          <w:p w14:paraId="3AE036F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5812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8、完善参保人员医疗救助金记账结算业务接口改造功能</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439E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广州市医疗保险服务中心关于完善参保人员医疗救助金记账结算工作的通知</w:t>
            </w:r>
            <w:r>
              <w:rPr>
                <w:rFonts w:hint="eastAsia" w:ascii="仿宋_GB2312" w:hAnsi="黑体" w:eastAsia="仿宋_GB2312" w:cs="黑体"/>
                <w:b w:val="0"/>
                <w:bCs w:val="0"/>
                <w:color w:val="auto"/>
                <w:kern w:val="0"/>
                <w:sz w:val="21"/>
                <w:szCs w:val="21"/>
                <w:highlight w:val="none"/>
                <w:lang w:val="en-US" w:eastAsia="zh-CN"/>
              </w:rPr>
              <w:t>》的需求</w:t>
            </w:r>
          </w:p>
        </w:tc>
      </w:tr>
      <w:tr w14:paraId="2729F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27" w:type="pct"/>
            <w:vMerge w:val="continue"/>
            <w:tcBorders>
              <w:left w:val="single" w:color="000000" w:sz="4" w:space="0"/>
              <w:right w:val="single" w:color="000000" w:sz="4" w:space="0"/>
            </w:tcBorders>
            <w:shd w:val="clear" w:color="auto" w:fill="auto"/>
            <w:vAlign w:val="center"/>
          </w:tcPr>
          <w:p w14:paraId="4EF6C0C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57" w:type="pct"/>
            <w:vMerge w:val="continue"/>
            <w:tcBorders>
              <w:left w:val="single" w:color="000000" w:sz="4" w:space="0"/>
              <w:right w:val="single" w:color="000000" w:sz="4" w:space="0"/>
            </w:tcBorders>
            <w:shd w:val="clear" w:color="auto" w:fill="auto"/>
            <w:vAlign w:val="center"/>
          </w:tcPr>
          <w:p w14:paraId="4B23C1D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80" w:type="pct"/>
            <w:vMerge w:val="continue"/>
            <w:tcBorders>
              <w:left w:val="single" w:color="000000" w:sz="4" w:space="0"/>
              <w:right w:val="single" w:color="000000" w:sz="4" w:space="0"/>
            </w:tcBorders>
            <w:shd w:val="clear" w:color="auto" w:fill="auto"/>
            <w:vAlign w:val="top"/>
          </w:tcPr>
          <w:p w14:paraId="525AA4F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B596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9、</w:t>
            </w:r>
            <w:r>
              <w:rPr>
                <w:rFonts w:hint="default" w:ascii="仿宋_GB2312" w:hAnsi="黑体" w:eastAsia="仿宋_GB2312" w:cs="黑体"/>
                <w:b w:val="0"/>
                <w:bCs w:val="0"/>
                <w:color w:val="auto"/>
                <w:kern w:val="0"/>
                <w:sz w:val="21"/>
                <w:szCs w:val="21"/>
                <w:highlight w:val="none"/>
                <w:lang w:val="en-US" w:eastAsia="zh-CN"/>
              </w:rPr>
              <w:t>医保结算清单4101A接口</w:t>
            </w:r>
            <w:r>
              <w:rPr>
                <w:rFonts w:hint="eastAsia" w:ascii="仿宋_GB2312" w:hAnsi="黑体" w:eastAsia="仿宋_GB2312" w:cs="黑体"/>
                <w:b w:val="0"/>
                <w:bCs w:val="0"/>
                <w:color w:val="auto"/>
                <w:kern w:val="0"/>
                <w:sz w:val="21"/>
                <w:szCs w:val="21"/>
                <w:highlight w:val="none"/>
                <w:lang w:val="en-US" w:eastAsia="zh-CN"/>
              </w:rPr>
              <w:t>改造功能模块</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20DA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广州市医疗保险服务中心关于做好医保结算清单4101A接口更新工作的通知</w:t>
            </w:r>
            <w:r>
              <w:rPr>
                <w:rFonts w:hint="eastAsia" w:ascii="仿宋_GB2312" w:hAnsi="黑体" w:eastAsia="仿宋_GB2312" w:cs="黑体"/>
                <w:b w:val="0"/>
                <w:bCs w:val="0"/>
                <w:color w:val="auto"/>
                <w:kern w:val="0"/>
                <w:sz w:val="21"/>
                <w:szCs w:val="21"/>
                <w:highlight w:val="none"/>
                <w:lang w:val="en-US" w:eastAsia="zh-CN"/>
              </w:rPr>
              <w:t>》的需求</w:t>
            </w:r>
          </w:p>
        </w:tc>
      </w:tr>
      <w:tr w14:paraId="55552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27" w:type="pct"/>
            <w:vMerge w:val="continue"/>
            <w:tcBorders>
              <w:left w:val="single" w:color="000000" w:sz="4" w:space="0"/>
              <w:right w:val="single" w:color="000000" w:sz="4" w:space="0"/>
            </w:tcBorders>
            <w:shd w:val="clear" w:color="auto" w:fill="auto"/>
            <w:vAlign w:val="center"/>
          </w:tcPr>
          <w:p w14:paraId="398F7A5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57" w:type="pct"/>
            <w:vMerge w:val="continue"/>
            <w:tcBorders>
              <w:left w:val="single" w:color="000000" w:sz="4" w:space="0"/>
              <w:right w:val="single" w:color="000000" w:sz="4" w:space="0"/>
            </w:tcBorders>
            <w:shd w:val="clear" w:color="auto" w:fill="auto"/>
            <w:vAlign w:val="center"/>
          </w:tcPr>
          <w:p w14:paraId="48B23B0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80" w:type="pct"/>
            <w:vMerge w:val="continue"/>
            <w:tcBorders>
              <w:left w:val="single" w:color="000000" w:sz="4" w:space="0"/>
              <w:right w:val="single" w:color="000000" w:sz="4" w:space="0"/>
            </w:tcBorders>
            <w:shd w:val="clear" w:color="auto" w:fill="auto"/>
            <w:vAlign w:val="top"/>
          </w:tcPr>
          <w:p w14:paraId="5EFE0D1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B3DD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10、医保智能审核</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8CCA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功能根据《广州市医疗保险服务中心关于印发智能审核事前提醒工作指引的通知》的需求</w:t>
            </w:r>
          </w:p>
        </w:tc>
      </w:tr>
      <w:tr w14:paraId="41A5D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27" w:type="pct"/>
            <w:vMerge w:val="continue"/>
            <w:tcBorders>
              <w:left w:val="single" w:color="000000" w:sz="4" w:space="0"/>
              <w:right w:val="single" w:color="000000" w:sz="4" w:space="0"/>
            </w:tcBorders>
            <w:shd w:val="clear" w:color="auto" w:fill="auto"/>
            <w:vAlign w:val="center"/>
          </w:tcPr>
          <w:p w14:paraId="2E0032D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57" w:type="pct"/>
            <w:vMerge w:val="continue"/>
            <w:tcBorders>
              <w:left w:val="single" w:color="000000" w:sz="4" w:space="0"/>
              <w:right w:val="single" w:color="000000" w:sz="4" w:space="0"/>
            </w:tcBorders>
            <w:shd w:val="clear" w:color="auto" w:fill="auto"/>
            <w:vAlign w:val="center"/>
          </w:tcPr>
          <w:p w14:paraId="6A44279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80" w:type="pct"/>
            <w:vMerge w:val="continue"/>
            <w:tcBorders>
              <w:left w:val="single" w:color="000000" w:sz="4" w:space="0"/>
              <w:right w:val="single" w:color="000000" w:sz="4" w:space="0"/>
            </w:tcBorders>
            <w:shd w:val="clear" w:color="auto" w:fill="auto"/>
            <w:vAlign w:val="top"/>
          </w:tcPr>
          <w:p w14:paraId="0F620CD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798D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11、工伤保险跨省异地就医直接结算</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BD6C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功能根据《关于做好 2025 年我省工伤保险跨省异地就医直接结算试点扩围有关工作的通知》的需求</w:t>
            </w:r>
          </w:p>
        </w:tc>
      </w:tr>
      <w:tr w14:paraId="54F8D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27" w:type="pct"/>
            <w:vMerge w:val="continue"/>
            <w:tcBorders>
              <w:left w:val="single" w:color="000000" w:sz="4" w:space="0"/>
              <w:right w:val="single" w:color="000000" w:sz="4" w:space="0"/>
            </w:tcBorders>
            <w:shd w:val="clear" w:color="auto" w:fill="auto"/>
            <w:vAlign w:val="center"/>
          </w:tcPr>
          <w:p w14:paraId="437A6F9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57" w:type="pct"/>
            <w:vMerge w:val="continue"/>
            <w:tcBorders>
              <w:left w:val="single" w:color="000000" w:sz="4" w:space="0"/>
              <w:right w:val="single" w:color="000000" w:sz="4" w:space="0"/>
            </w:tcBorders>
            <w:shd w:val="clear" w:color="auto" w:fill="auto"/>
            <w:vAlign w:val="center"/>
          </w:tcPr>
          <w:p w14:paraId="72D87E7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80" w:type="pct"/>
            <w:vMerge w:val="continue"/>
            <w:tcBorders>
              <w:left w:val="single" w:color="000000" w:sz="4" w:space="0"/>
              <w:right w:val="single" w:color="000000" w:sz="4" w:space="0"/>
            </w:tcBorders>
            <w:shd w:val="clear" w:color="auto" w:fill="auto"/>
            <w:vAlign w:val="top"/>
          </w:tcPr>
          <w:p w14:paraId="26BFD66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81E1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12、工伤保险职业伤害保障</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4E26B">
            <w:pPr>
              <w:widowControl/>
              <w:adjustRightInd/>
              <w:spacing w:before="0" w:after="0" w:line="240" w:lineRule="auto"/>
              <w:jc w:val="both"/>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功能根据《广东省新就业形态就业人员职业伤害保障待遇核付管理指导意见》或新下发文件需求</w:t>
            </w:r>
          </w:p>
        </w:tc>
      </w:tr>
      <w:tr w14:paraId="328E4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27" w:type="pct"/>
            <w:vMerge w:val="continue"/>
            <w:tcBorders>
              <w:left w:val="single" w:color="000000" w:sz="4" w:space="0"/>
              <w:right w:val="single" w:color="000000" w:sz="4" w:space="0"/>
            </w:tcBorders>
            <w:shd w:val="clear" w:color="auto" w:fill="auto"/>
            <w:vAlign w:val="center"/>
          </w:tcPr>
          <w:p w14:paraId="36E4E52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57" w:type="pct"/>
            <w:vMerge w:val="continue"/>
            <w:tcBorders>
              <w:left w:val="single" w:color="000000" w:sz="4" w:space="0"/>
              <w:right w:val="single" w:color="000000" w:sz="4" w:space="0"/>
            </w:tcBorders>
            <w:shd w:val="clear" w:color="auto" w:fill="auto"/>
            <w:vAlign w:val="center"/>
          </w:tcPr>
          <w:p w14:paraId="6D80A75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80" w:type="pct"/>
            <w:vMerge w:val="continue"/>
            <w:tcBorders>
              <w:left w:val="single" w:color="000000" w:sz="4" w:space="0"/>
              <w:right w:val="single" w:color="000000" w:sz="4" w:space="0"/>
            </w:tcBorders>
            <w:shd w:val="clear" w:color="auto" w:fill="auto"/>
            <w:vAlign w:val="top"/>
          </w:tcPr>
          <w:p w14:paraId="61BB1F9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5661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13、传染病智能监测预警前置软件部署</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0B942">
            <w:pPr>
              <w:widowControl/>
              <w:adjustRightInd/>
              <w:spacing w:before="0" w:after="0" w:line="240" w:lineRule="auto"/>
              <w:jc w:val="both"/>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功能根据《广州市卫生健康委关于转发&lt;加快推进国家传染病智能监测预警前置软件部署工作方案&gt;的通知》的需求</w:t>
            </w:r>
          </w:p>
        </w:tc>
      </w:tr>
      <w:tr w14:paraId="088F9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27" w:type="pct"/>
            <w:vMerge w:val="continue"/>
            <w:tcBorders>
              <w:left w:val="single" w:color="000000" w:sz="4" w:space="0"/>
              <w:right w:val="single" w:color="000000" w:sz="4" w:space="0"/>
            </w:tcBorders>
            <w:shd w:val="clear" w:color="auto" w:fill="auto"/>
            <w:vAlign w:val="center"/>
          </w:tcPr>
          <w:p w14:paraId="3D114D5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57" w:type="pct"/>
            <w:vMerge w:val="continue"/>
            <w:tcBorders>
              <w:left w:val="single" w:color="000000" w:sz="4" w:space="0"/>
              <w:right w:val="single" w:color="000000" w:sz="4" w:space="0"/>
            </w:tcBorders>
            <w:shd w:val="clear" w:color="auto" w:fill="auto"/>
            <w:vAlign w:val="center"/>
          </w:tcPr>
          <w:p w14:paraId="1A0E8C8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80" w:type="pct"/>
            <w:vMerge w:val="continue"/>
            <w:tcBorders>
              <w:left w:val="single" w:color="000000" w:sz="4" w:space="0"/>
              <w:right w:val="single" w:color="000000" w:sz="4" w:space="0"/>
            </w:tcBorders>
            <w:shd w:val="clear" w:color="auto" w:fill="auto"/>
            <w:vAlign w:val="top"/>
          </w:tcPr>
          <w:p w14:paraId="3234B48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7ABE9">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14、呼气试验测试仪对接</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3CAE4">
            <w:pPr>
              <w:widowControl/>
              <w:adjustRightInd/>
              <w:spacing w:before="0" w:after="0" w:line="240" w:lineRule="auto"/>
              <w:jc w:val="both"/>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功能根据《呼气试验测试仪接口》的需求</w:t>
            </w:r>
          </w:p>
        </w:tc>
      </w:tr>
      <w:tr w14:paraId="72378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27" w:type="pct"/>
            <w:vMerge w:val="continue"/>
            <w:tcBorders>
              <w:left w:val="single" w:color="000000" w:sz="4" w:space="0"/>
              <w:right w:val="single" w:color="000000" w:sz="4" w:space="0"/>
            </w:tcBorders>
            <w:shd w:val="clear" w:color="auto" w:fill="auto"/>
            <w:vAlign w:val="center"/>
          </w:tcPr>
          <w:p w14:paraId="1A0A4CF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57" w:type="pct"/>
            <w:vMerge w:val="continue"/>
            <w:tcBorders>
              <w:left w:val="single" w:color="000000" w:sz="4" w:space="0"/>
              <w:right w:val="single" w:color="000000" w:sz="4" w:space="0"/>
            </w:tcBorders>
            <w:shd w:val="clear" w:color="auto" w:fill="auto"/>
            <w:vAlign w:val="center"/>
          </w:tcPr>
          <w:p w14:paraId="03DA6FC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80" w:type="pct"/>
            <w:vMerge w:val="continue"/>
            <w:tcBorders>
              <w:left w:val="single" w:color="000000" w:sz="4" w:space="0"/>
              <w:right w:val="single" w:color="000000" w:sz="4" w:space="0"/>
            </w:tcBorders>
            <w:shd w:val="clear" w:color="auto" w:fill="auto"/>
            <w:vAlign w:val="top"/>
          </w:tcPr>
          <w:p w14:paraId="0B76614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8FD3B">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15、门急诊诊疗信息页</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4955B">
            <w:pPr>
              <w:widowControl/>
              <w:adjustRightInd/>
              <w:spacing w:before="0" w:after="0" w:line="240" w:lineRule="auto"/>
              <w:jc w:val="both"/>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根据《国家卫生健康委医政司开展门（急）诊诊疗信息数据报告有关工作的通知》的需求</w:t>
            </w:r>
          </w:p>
        </w:tc>
      </w:tr>
      <w:tr w14:paraId="3D65D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27" w:type="pct"/>
            <w:vMerge w:val="continue"/>
            <w:tcBorders>
              <w:left w:val="single" w:color="000000" w:sz="4" w:space="0"/>
              <w:bottom w:val="single" w:color="000000" w:sz="4" w:space="0"/>
              <w:right w:val="single" w:color="000000" w:sz="4" w:space="0"/>
            </w:tcBorders>
            <w:shd w:val="clear" w:color="auto" w:fill="auto"/>
            <w:vAlign w:val="center"/>
          </w:tcPr>
          <w:p w14:paraId="749928E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57" w:type="pct"/>
            <w:vMerge w:val="continue"/>
            <w:tcBorders>
              <w:left w:val="single" w:color="000000" w:sz="4" w:space="0"/>
              <w:bottom w:val="single" w:color="000000" w:sz="4" w:space="0"/>
              <w:right w:val="single" w:color="000000" w:sz="4" w:space="0"/>
            </w:tcBorders>
            <w:shd w:val="clear" w:color="auto" w:fill="auto"/>
            <w:vAlign w:val="center"/>
          </w:tcPr>
          <w:p w14:paraId="3B2EC82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80" w:type="pct"/>
            <w:vMerge w:val="continue"/>
            <w:tcBorders>
              <w:left w:val="single" w:color="000000" w:sz="4" w:space="0"/>
              <w:bottom w:val="single" w:color="000000" w:sz="4" w:space="0"/>
              <w:right w:val="single" w:color="000000" w:sz="4" w:space="0"/>
            </w:tcBorders>
            <w:shd w:val="clear" w:color="auto" w:fill="auto"/>
            <w:vAlign w:val="top"/>
          </w:tcPr>
          <w:p w14:paraId="1D2CDB2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9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F6F9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16、合同签订起一年内下达的其他医保政策文件</w:t>
            </w:r>
          </w:p>
        </w:tc>
        <w:tc>
          <w:tcPr>
            <w:tcW w:w="2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B5CE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功能根据下达的医保政策文件需求</w:t>
            </w:r>
          </w:p>
        </w:tc>
      </w:tr>
    </w:tbl>
    <w:p w14:paraId="6BDF4AC9">
      <w:pPr>
        <w:pageBreakBefore w:val="0"/>
        <w:widowControl w:val="0"/>
        <w:numPr>
          <w:ilvl w:val="0"/>
          <w:numId w:val="0"/>
        </w:numPr>
        <w:kinsoku/>
        <w:wordWrap/>
        <w:overflowPunct/>
        <w:topLinePunct w:val="0"/>
        <w:autoSpaceDE/>
        <w:autoSpaceDN/>
        <w:bidi w:val="0"/>
        <w:adjustRightInd/>
        <w:spacing w:beforeAutospacing="0" w:afterAutospacing="0" w:line="360" w:lineRule="auto"/>
        <w:ind w:firstLine="602" w:firstLineChars="200"/>
        <w:jc w:val="both"/>
        <w:textAlignment w:val="auto"/>
        <w:outlineLvl w:val="0"/>
        <w:rPr>
          <w:rFonts w:hint="eastAsia" w:ascii="仿宋" w:hAnsi="仿宋" w:eastAsia="仿宋" w:cs="仿宋"/>
          <w:b/>
          <w:bCs/>
          <w:color w:val="auto"/>
          <w:kern w:val="2"/>
          <w:sz w:val="30"/>
          <w:szCs w:val="30"/>
          <w:lang w:val="en-US" w:eastAsia="zh-CN" w:bidi="ar-SA"/>
        </w:rPr>
      </w:pPr>
      <w:r>
        <w:rPr>
          <w:rFonts w:hint="eastAsia" w:ascii="仿宋" w:hAnsi="仿宋" w:eastAsia="仿宋" w:cs="仿宋"/>
          <w:b/>
          <w:bCs/>
          <w:color w:val="auto"/>
          <w:kern w:val="2"/>
          <w:sz w:val="30"/>
          <w:szCs w:val="30"/>
          <w:lang w:val="en-US" w:eastAsia="zh-CN" w:bidi="ar-SA"/>
        </w:rPr>
        <w:t>（二）项目总体需求</w:t>
      </w:r>
    </w:p>
    <w:p w14:paraId="60F3843D">
      <w:pPr>
        <w:keepNext/>
        <w:keepLines/>
        <w:widowControl w:val="0"/>
        <w:numPr>
          <w:ilvl w:val="2"/>
          <w:numId w:val="1"/>
        </w:numPr>
        <w:adjustRightInd w:val="0"/>
        <w:spacing w:before="180" w:after="180" w:line="360" w:lineRule="auto"/>
        <w:jc w:val="both"/>
        <w:textAlignment w:val="baseline"/>
        <w:outlineLvl w:val="2"/>
        <w:rPr>
          <w:rFonts w:hint="eastAsia" w:ascii="黑体" w:hAnsi="黑体" w:eastAsia="黑体" w:cs="黑体"/>
          <w:b w:val="0"/>
          <w:bCs w:val="0"/>
          <w:color w:val="auto"/>
          <w:sz w:val="24"/>
          <w:szCs w:val="24"/>
          <w:highlight w:val="none"/>
          <w:lang w:val="en-US" w:eastAsia="zh-CN" w:bidi="ar-SA"/>
        </w:rPr>
      </w:pPr>
      <w:bookmarkStart w:id="0" w:name="_Toc1175017628"/>
      <w:bookmarkStart w:id="1" w:name="_Toc24575"/>
      <w:r>
        <w:rPr>
          <w:rFonts w:hint="eastAsia" w:ascii="黑体" w:hAnsi="黑体" w:eastAsia="黑体" w:cs="黑体"/>
          <w:b w:val="0"/>
          <w:bCs w:val="0"/>
          <w:color w:val="auto"/>
          <w:sz w:val="24"/>
          <w:szCs w:val="24"/>
          <w:highlight w:val="none"/>
          <w:lang w:val="en-US" w:eastAsia="zh-CN" w:bidi="ar-SA"/>
        </w:rPr>
        <w:t>需求分析</w:t>
      </w:r>
      <w:bookmarkEnd w:id="0"/>
      <w:bookmarkEnd w:id="1"/>
    </w:p>
    <w:p w14:paraId="2AEAD14E">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新建项目对医院医保业务主线进行信息化建设，医保业务主线主要和国家省市区的平台系统做数据层的对接。</w:t>
      </w:r>
    </w:p>
    <w:p w14:paraId="3280DE3F">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新建项目为升级改造项目，做如下内容说明：</w:t>
      </w:r>
    </w:p>
    <w:p w14:paraId="4AB37641">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default"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所优化的业务流程</w:t>
      </w:r>
    </w:p>
    <w:p w14:paraId="7A2D4B70">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default"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所整合的信息资源</w:t>
      </w:r>
    </w:p>
    <w:p w14:paraId="65229788">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default"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所整合的信息资源主要是患者基本信息的数据。参照国家医保局规定的人员基础信息指标，从广州市医保业务系统中采集人员信息，包括人员基础信息、人员证照信息、人员参保信息，医保信息采集工作涉及面广，采集数据量大、质量要求高。</w:t>
      </w:r>
    </w:p>
    <w:p w14:paraId="75F234A7">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default"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前后支持差异比较</w:t>
      </w:r>
    </w:p>
    <w:p w14:paraId="574071F3">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default"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对医院端HIS系统的技术架构、运行环境、技术路线和发展趋势不做改变。</w:t>
      </w:r>
    </w:p>
    <w:p w14:paraId="2A85E56C">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default"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功能模块差异比较</w:t>
      </w:r>
    </w:p>
    <w:p w14:paraId="71C14E09">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default"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对医院端HIS系统的功能模块不做改变，在业务流程上加了一些医保节点判断及控制。</w:t>
      </w:r>
    </w:p>
    <w:p w14:paraId="73F932E5">
      <w:pPr>
        <w:keepNext/>
        <w:keepLines/>
        <w:widowControl w:val="0"/>
        <w:numPr>
          <w:ilvl w:val="3"/>
          <w:numId w:val="1"/>
        </w:numPr>
        <w:adjustRightInd w:val="0"/>
        <w:spacing w:before="0" w:after="0" w:line="400" w:lineRule="exact"/>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2" w:name="_Toc5671872"/>
      <w:r>
        <w:rPr>
          <w:rFonts w:hint="eastAsia" w:ascii="黑体" w:hAnsi="黑体" w:eastAsia="黑体" w:cs="黑体"/>
          <w:b w:val="0"/>
          <w:bCs w:val="0"/>
          <w:color w:val="auto"/>
          <w:sz w:val="24"/>
          <w:szCs w:val="30"/>
          <w:highlight w:val="none"/>
          <w:lang w:val="en-US" w:eastAsia="zh-CN" w:bidi="ar-SA"/>
        </w:rPr>
        <w:t>系统质量需求分析</w:t>
      </w:r>
      <w:bookmarkEnd w:id="2"/>
    </w:p>
    <w:p w14:paraId="19CF7681">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根据医院近年公开数据，系统对应的用户群主要分布在临床科室和辅助检查治疗科室，涉及到的系统为面对患者的临床医疗业务系统，按照医院职工总数和科室每日上班人数占比，估算出用户数：</w:t>
      </w:r>
    </w:p>
    <w:p w14:paraId="4A34680A">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静态用户（存在系统帐号的所有院内职工人数）626人次；</w:t>
      </w:r>
    </w:p>
    <w:p w14:paraId="744F4F58">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动态用户（在线用户）约600人次（以各科室内网共600台客户端均使用的情况下进行在线用户估算）。</w:t>
      </w:r>
    </w:p>
    <w:p w14:paraId="24B5A1B1">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面向患者的便民服务类系统对应的用户群主要为就诊患者，医院近三年的就诊患者情况如下：</w:t>
      </w:r>
    </w:p>
    <w:p w14:paraId="638E3223">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center"/>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表1系统对应的用户群主要分布</w:t>
      </w:r>
    </w:p>
    <w:tbl>
      <w:tblPr>
        <w:tblStyle w:val="4"/>
        <w:tblW w:w="4446" w:type="pct"/>
        <w:jc w:val="center"/>
        <w:tblLayout w:type="autofit"/>
        <w:tblCellMar>
          <w:top w:w="0" w:type="dxa"/>
          <w:left w:w="108" w:type="dxa"/>
          <w:bottom w:w="0" w:type="dxa"/>
          <w:right w:w="108" w:type="dxa"/>
        </w:tblCellMar>
      </w:tblPr>
      <w:tblGrid>
        <w:gridCol w:w="1898"/>
        <w:gridCol w:w="2111"/>
        <w:gridCol w:w="1745"/>
        <w:gridCol w:w="1824"/>
      </w:tblGrid>
      <w:tr w14:paraId="248864FF">
        <w:tblPrEx>
          <w:tblCellMar>
            <w:top w:w="0" w:type="dxa"/>
            <w:left w:w="108" w:type="dxa"/>
            <w:bottom w:w="0" w:type="dxa"/>
            <w:right w:w="108" w:type="dxa"/>
          </w:tblCellMar>
        </w:tblPrEx>
        <w:trPr>
          <w:trHeight w:val="624" w:hRule="atLeast"/>
          <w:tblHeader/>
          <w:jc w:val="center"/>
        </w:trPr>
        <w:tc>
          <w:tcPr>
            <w:tcW w:w="1252" w:type="pct"/>
            <w:vMerge w:val="restart"/>
            <w:tcBorders>
              <w:top w:val="single" w:color="auto" w:sz="4" w:space="0"/>
              <w:left w:val="single" w:color="auto" w:sz="4" w:space="0"/>
              <w:bottom w:val="single" w:color="auto" w:sz="4" w:space="0"/>
              <w:right w:val="single" w:color="auto" w:sz="4" w:space="0"/>
            </w:tcBorders>
            <w:shd w:val="clear" w:color="auto" w:fill="BFBFBF"/>
            <w:vAlign w:val="center"/>
          </w:tcPr>
          <w:p w14:paraId="4F980DE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年度</w:t>
            </w:r>
          </w:p>
        </w:tc>
        <w:tc>
          <w:tcPr>
            <w:tcW w:w="1392" w:type="pct"/>
            <w:vMerge w:val="restart"/>
            <w:tcBorders>
              <w:top w:val="single" w:color="auto" w:sz="4" w:space="0"/>
              <w:left w:val="single" w:color="auto" w:sz="4" w:space="0"/>
              <w:bottom w:val="single" w:color="auto" w:sz="4" w:space="0"/>
              <w:right w:val="single" w:color="auto" w:sz="4" w:space="0"/>
            </w:tcBorders>
            <w:shd w:val="clear" w:color="auto" w:fill="BFBFBF"/>
            <w:vAlign w:val="center"/>
          </w:tcPr>
          <w:p w14:paraId="3901A69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日均门诊量</w:t>
            </w:r>
          </w:p>
        </w:tc>
        <w:tc>
          <w:tcPr>
            <w:tcW w:w="1151" w:type="pct"/>
            <w:vMerge w:val="restart"/>
            <w:tcBorders>
              <w:top w:val="single" w:color="auto" w:sz="4" w:space="0"/>
              <w:left w:val="single" w:color="auto" w:sz="4" w:space="0"/>
              <w:bottom w:val="single" w:color="auto" w:sz="4" w:space="0"/>
              <w:right w:val="single" w:color="auto" w:sz="4" w:space="0"/>
            </w:tcBorders>
            <w:shd w:val="clear" w:color="auto" w:fill="BFBFBF"/>
            <w:vAlign w:val="center"/>
          </w:tcPr>
          <w:p w14:paraId="14EC3DA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日均住院量</w:t>
            </w:r>
          </w:p>
        </w:tc>
        <w:tc>
          <w:tcPr>
            <w:tcW w:w="1203" w:type="pct"/>
            <w:vMerge w:val="restart"/>
            <w:tcBorders>
              <w:top w:val="single" w:color="auto" w:sz="4" w:space="0"/>
              <w:left w:val="single" w:color="auto" w:sz="4" w:space="0"/>
              <w:bottom w:val="single" w:color="auto" w:sz="4" w:space="0"/>
              <w:right w:val="single" w:color="auto" w:sz="4" w:space="0"/>
            </w:tcBorders>
            <w:shd w:val="clear" w:color="auto" w:fill="BFBFBF"/>
            <w:vAlign w:val="center"/>
          </w:tcPr>
          <w:p w14:paraId="4BDB40C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日均出院量</w:t>
            </w:r>
          </w:p>
        </w:tc>
      </w:tr>
      <w:tr w14:paraId="253A2798">
        <w:tblPrEx>
          <w:tblCellMar>
            <w:top w:w="0" w:type="dxa"/>
            <w:left w:w="108" w:type="dxa"/>
            <w:bottom w:w="0" w:type="dxa"/>
            <w:right w:w="108" w:type="dxa"/>
          </w:tblCellMar>
        </w:tblPrEx>
        <w:trPr>
          <w:trHeight w:val="312" w:hRule="atLeast"/>
          <w:jc w:val="center"/>
        </w:trPr>
        <w:tc>
          <w:tcPr>
            <w:tcW w:w="1252" w:type="pct"/>
            <w:vMerge w:val="continue"/>
            <w:tcBorders>
              <w:top w:val="single" w:color="auto" w:sz="4" w:space="0"/>
              <w:left w:val="single" w:color="auto" w:sz="4" w:space="0"/>
              <w:bottom w:val="single" w:color="auto" w:sz="4" w:space="0"/>
              <w:right w:val="single" w:color="auto" w:sz="4" w:space="0"/>
            </w:tcBorders>
            <w:shd w:val="clear" w:color="auto" w:fill="BFBFBF"/>
            <w:vAlign w:val="center"/>
          </w:tcPr>
          <w:p w14:paraId="06B5D02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1392" w:type="pct"/>
            <w:vMerge w:val="continue"/>
            <w:tcBorders>
              <w:top w:val="single" w:color="auto" w:sz="4" w:space="0"/>
              <w:left w:val="single" w:color="auto" w:sz="4" w:space="0"/>
              <w:bottom w:val="single" w:color="auto" w:sz="4" w:space="0"/>
              <w:right w:val="single" w:color="auto" w:sz="4" w:space="0"/>
            </w:tcBorders>
            <w:shd w:val="clear" w:color="auto" w:fill="BFBFBF"/>
            <w:vAlign w:val="center"/>
          </w:tcPr>
          <w:p w14:paraId="6B1C89F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1151" w:type="pct"/>
            <w:vMerge w:val="continue"/>
            <w:tcBorders>
              <w:top w:val="single" w:color="auto" w:sz="4" w:space="0"/>
              <w:left w:val="single" w:color="auto" w:sz="4" w:space="0"/>
              <w:bottom w:val="single" w:color="auto" w:sz="4" w:space="0"/>
              <w:right w:val="single" w:color="auto" w:sz="4" w:space="0"/>
            </w:tcBorders>
            <w:shd w:val="clear" w:color="auto" w:fill="BFBFBF"/>
            <w:vAlign w:val="center"/>
          </w:tcPr>
          <w:p w14:paraId="209ECB8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1203" w:type="pct"/>
            <w:vMerge w:val="continue"/>
            <w:tcBorders>
              <w:top w:val="single" w:color="auto" w:sz="4" w:space="0"/>
              <w:left w:val="single" w:color="auto" w:sz="4" w:space="0"/>
              <w:bottom w:val="single" w:color="auto" w:sz="4" w:space="0"/>
              <w:right w:val="single" w:color="auto" w:sz="4" w:space="0"/>
            </w:tcBorders>
            <w:shd w:val="clear" w:color="auto" w:fill="BFBFBF"/>
            <w:vAlign w:val="center"/>
          </w:tcPr>
          <w:p w14:paraId="5AFBDA2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r>
      <w:tr w14:paraId="45C5CE0D">
        <w:tblPrEx>
          <w:tblCellMar>
            <w:top w:w="0" w:type="dxa"/>
            <w:left w:w="108" w:type="dxa"/>
            <w:bottom w:w="0" w:type="dxa"/>
            <w:right w:w="108" w:type="dxa"/>
          </w:tblCellMar>
        </w:tblPrEx>
        <w:trPr>
          <w:trHeight w:val="270" w:hRule="atLeast"/>
          <w:jc w:val="center"/>
        </w:trPr>
        <w:tc>
          <w:tcPr>
            <w:tcW w:w="1252" w:type="pct"/>
            <w:tcBorders>
              <w:top w:val="nil"/>
              <w:left w:val="single" w:color="auto" w:sz="4" w:space="0"/>
              <w:bottom w:val="single" w:color="auto" w:sz="4" w:space="0"/>
              <w:right w:val="single" w:color="auto" w:sz="4" w:space="0"/>
            </w:tcBorders>
            <w:shd w:val="clear" w:color="auto" w:fill="auto"/>
            <w:noWrap/>
          </w:tcPr>
          <w:p w14:paraId="225C0963">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2022</w:t>
            </w:r>
          </w:p>
        </w:tc>
        <w:tc>
          <w:tcPr>
            <w:tcW w:w="1392" w:type="pct"/>
            <w:tcBorders>
              <w:top w:val="nil"/>
              <w:left w:val="nil"/>
              <w:bottom w:val="single" w:color="auto" w:sz="4" w:space="0"/>
              <w:right w:val="single" w:color="auto" w:sz="4" w:space="0"/>
            </w:tcBorders>
            <w:shd w:val="clear" w:color="auto" w:fill="auto"/>
            <w:noWrap/>
          </w:tcPr>
          <w:p w14:paraId="74641D57">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3031</w:t>
            </w:r>
          </w:p>
        </w:tc>
        <w:tc>
          <w:tcPr>
            <w:tcW w:w="1151" w:type="pct"/>
            <w:tcBorders>
              <w:top w:val="nil"/>
              <w:left w:val="nil"/>
              <w:bottom w:val="single" w:color="auto" w:sz="4" w:space="0"/>
              <w:right w:val="single" w:color="auto" w:sz="4" w:space="0"/>
            </w:tcBorders>
            <w:shd w:val="clear" w:color="auto" w:fill="auto"/>
            <w:noWrap/>
          </w:tcPr>
          <w:p w14:paraId="6D96078D">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337</w:t>
            </w:r>
          </w:p>
        </w:tc>
        <w:tc>
          <w:tcPr>
            <w:tcW w:w="1203" w:type="pct"/>
            <w:tcBorders>
              <w:top w:val="nil"/>
              <w:left w:val="nil"/>
              <w:bottom w:val="single" w:color="auto" w:sz="4" w:space="0"/>
              <w:right w:val="single" w:color="auto" w:sz="4" w:space="0"/>
            </w:tcBorders>
            <w:shd w:val="clear" w:color="auto" w:fill="auto"/>
            <w:vAlign w:val="center"/>
          </w:tcPr>
          <w:p w14:paraId="57AD4390">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44</w:t>
            </w:r>
          </w:p>
        </w:tc>
      </w:tr>
      <w:tr w14:paraId="0C4A5092">
        <w:tblPrEx>
          <w:tblCellMar>
            <w:top w:w="0" w:type="dxa"/>
            <w:left w:w="108" w:type="dxa"/>
            <w:bottom w:w="0" w:type="dxa"/>
            <w:right w:w="108" w:type="dxa"/>
          </w:tblCellMar>
        </w:tblPrEx>
        <w:trPr>
          <w:trHeight w:val="270" w:hRule="atLeast"/>
          <w:jc w:val="center"/>
        </w:trPr>
        <w:tc>
          <w:tcPr>
            <w:tcW w:w="1252" w:type="pct"/>
            <w:tcBorders>
              <w:top w:val="nil"/>
              <w:left w:val="single" w:color="auto" w:sz="4" w:space="0"/>
              <w:bottom w:val="single" w:color="auto" w:sz="4" w:space="0"/>
              <w:right w:val="single" w:color="auto" w:sz="4" w:space="0"/>
            </w:tcBorders>
            <w:shd w:val="clear" w:color="auto" w:fill="auto"/>
            <w:noWrap/>
          </w:tcPr>
          <w:p w14:paraId="37EC5EA2">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2023</w:t>
            </w:r>
          </w:p>
        </w:tc>
        <w:tc>
          <w:tcPr>
            <w:tcW w:w="1392" w:type="pct"/>
            <w:tcBorders>
              <w:top w:val="nil"/>
              <w:left w:val="nil"/>
              <w:bottom w:val="single" w:color="auto" w:sz="4" w:space="0"/>
              <w:right w:val="single" w:color="auto" w:sz="4" w:space="0"/>
            </w:tcBorders>
            <w:shd w:val="clear" w:color="auto" w:fill="auto"/>
            <w:noWrap/>
          </w:tcPr>
          <w:p w14:paraId="7D091FEB">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3122</w:t>
            </w:r>
          </w:p>
        </w:tc>
        <w:tc>
          <w:tcPr>
            <w:tcW w:w="1151" w:type="pct"/>
            <w:tcBorders>
              <w:top w:val="nil"/>
              <w:left w:val="nil"/>
              <w:bottom w:val="single" w:color="auto" w:sz="4" w:space="0"/>
              <w:right w:val="single" w:color="auto" w:sz="4" w:space="0"/>
            </w:tcBorders>
            <w:shd w:val="clear" w:color="auto" w:fill="auto"/>
            <w:noWrap/>
          </w:tcPr>
          <w:p w14:paraId="6665ACC5">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369</w:t>
            </w:r>
          </w:p>
        </w:tc>
        <w:tc>
          <w:tcPr>
            <w:tcW w:w="1203" w:type="pct"/>
            <w:tcBorders>
              <w:top w:val="nil"/>
              <w:left w:val="nil"/>
              <w:bottom w:val="single" w:color="auto" w:sz="4" w:space="0"/>
              <w:right w:val="single" w:color="auto" w:sz="4" w:space="0"/>
            </w:tcBorders>
            <w:shd w:val="clear" w:color="auto" w:fill="auto"/>
            <w:vAlign w:val="center"/>
          </w:tcPr>
          <w:p w14:paraId="19DEE32A">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51</w:t>
            </w:r>
          </w:p>
        </w:tc>
      </w:tr>
      <w:tr w14:paraId="25D96CE7">
        <w:tblPrEx>
          <w:tblCellMar>
            <w:top w:w="0" w:type="dxa"/>
            <w:left w:w="108" w:type="dxa"/>
            <w:bottom w:w="0" w:type="dxa"/>
            <w:right w:w="108" w:type="dxa"/>
          </w:tblCellMar>
        </w:tblPrEx>
        <w:trPr>
          <w:trHeight w:val="270" w:hRule="atLeast"/>
          <w:jc w:val="center"/>
        </w:trPr>
        <w:tc>
          <w:tcPr>
            <w:tcW w:w="1252" w:type="pct"/>
            <w:tcBorders>
              <w:top w:val="nil"/>
              <w:left w:val="single" w:color="auto" w:sz="4" w:space="0"/>
              <w:bottom w:val="single" w:color="auto" w:sz="4" w:space="0"/>
              <w:right w:val="single" w:color="auto" w:sz="4" w:space="0"/>
            </w:tcBorders>
            <w:shd w:val="clear" w:color="auto" w:fill="auto"/>
            <w:noWrap/>
          </w:tcPr>
          <w:p w14:paraId="1FD5D8DB">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2024</w:t>
            </w:r>
          </w:p>
        </w:tc>
        <w:tc>
          <w:tcPr>
            <w:tcW w:w="1392" w:type="pct"/>
            <w:tcBorders>
              <w:top w:val="nil"/>
              <w:left w:val="nil"/>
              <w:bottom w:val="single" w:color="auto" w:sz="4" w:space="0"/>
              <w:right w:val="single" w:color="auto" w:sz="4" w:space="0"/>
            </w:tcBorders>
            <w:shd w:val="clear" w:color="auto" w:fill="auto"/>
            <w:noWrap/>
          </w:tcPr>
          <w:p w14:paraId="0D4251E8">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3345</w:t>
            </w:r>
          </w:p>
        </w:tc>
        <w:tc>
          <w:tcPr>
            <w:tcW w:w="1151" w:type="pct"/>
            <w:tcBorders>
              <w:top w:val="nil"/>
              <w:left w:val="nil"/>
              <w:bottom w:val="single" w:color="auto" w:sz="4" w:space="0"/>
              <w:right w:val="single" w:color="auto" w:sz="4" w:space="0"/>
            </w:tcBorders>
            <w:shd w:val="clear" w:color="auto" w:fill="auto"/>
            <w:noWrap/>
          </w:tcPr>
          <w:p w14:paraId="483F6F9B">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363</w:t>
            </w:r>
          </w:p>
        </w:tc>
        <w:tc>
          <w:tcPr>
            <w:tcW w:w="1203" w:type="pct"/>
            <w:tcBorders>
              <w:top w:val="nil"/>
              <w:left w:val="nil"/>
              <w:bottom w:val="single" w:color="auto" w:sz="4" w:space="0"/>
              <w:right w:val="single" w:color="auto" w:sz="4" w:space="0"/>
            </w:tcBorders>
            <w:shd w:val="clear" w:color="auto" w:fill="auto"/>
            <w:vAlign w:val="center"/>
          </w:tcPr>
          <w:p w14:paraId="0E78FFB2">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54</w:t>
            </w:r>
          </w:p>
        </w:tc>
      </w:tr>
      <w:tr w14:paraId="6A18BAFF">
        <w:tblPrEx>
          <w:tblCellMar>
            <w:top w:w="0" w:type="dxa"/>
            <w:left w:w="108" w:type="dxa"/>
            <w:bottom w:w="0" w:type="dxa"/>
            <w:right w:w="108" w:type="dxa"/>
          </w:tblCellMar>
        </w:tblPrEx>
        <w:trPr>
          <w:trHeight w:val="270" w:hRule="atLeast"/>
          <w:jc w:val="center"/>
        </w:trPr>
        <w:tc>
          <w:tcPr>
            <w:tcW w:w="1252" w:type="pct"/>
            <w:tcBorders>
              <w:top w:val="nil"/>
              <w:left w:val="single" w:color="auto" w:sz="4" w:space="0"/>
              <w:bottom w:val="single" w:color="auto" w:sz="4" w:space="0"/>
              <w:right w:val="single" w:color="auto" w:sz="4" w:space="0"/>
            </w:tcBorders>
            <w:shd w:val="clear" w:color="auto" w:fill="auto"/>
            <w:noWrap/>
            <w:vAlign w:val="center"/>
          </w:tcPr>
          <w:p w14:paraId="111C364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三年平均值</w:t>
            </w:r>
          </w:p>
        </w:tc>
        <w:tc>
          <w:tcPr>
            <w:tcW w:w="1392" w:type="pct"/>
            <w:tcBorders>
              <w:top w:val="nil"/>
              <w:left w:val="nil"/>
              <w:bottom w:val="single" w:color="auto" w:sz="4" w:space="0"/>
              <w:right w:val="single" w:color="auto" w:sz="4" w:space="0"/>
            </w:tcBorders>
            <w:shd w:val="clear" w:color="auto" w:fill="auto"/>
            <w:noWrap/>
            <w:vAlign w:val="center"/>
          </w:tcPr>
          <w:p w14:paraId="0A921899">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3166</w:t>
            </w:r>
          </w:p>
        </w:tc>
        <w:tc>
          <w:tcPr>
            <w:tcW w:w="1151" w:type="pct"/>
            <w:tcBorders>
              <w:top w:val="nil"/>
              <w:left w:val="nil"/>
              <w:bottom w:val="single" w:color="auto" w:sz="4" w:space="0"/>
              <w:right w:val="single" w:color="auto" w:sz="4" w:space="0"/>
            </w:tcBorders>
            <w:shd w:val="clear" w:color="auto" w:fill="auto"/>
            <w:noWrap/>
            <w:vAlign w:val="center"/>
          </w:tcPr>
          <w:p w14:paraId="4975C19B">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356</w:t>
            </w:r>
          </w:p>
        </w:tc>
        <w:tc>
          <w:tcPr>
            <w:tcW w:w="1203" w:type="pct"/>
            <w:tcBorders>
              <w:top w:val="nil"/>
              <w:left w:val="nil"/>
              <w:bottom w:val="single" w:color="auto" w:sz="4" w:space="0"/>
              <w:right w:val="single" w:color="auto" w:sz="4" w:space="0"/>
            </w:tcBorders>
            <w:shd w:val="clear" w:color="auto" w:fill="auto"/>
            <w:vAlign w:val="center"/>
          </w:tcPr>
          <w:p w14:paraId="7C207FFE">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50</w:t>
            </w:r>
          </w:p>
        </w:tc>
      </w:tr>
    </w:tbl>
    <w:p w14:paraId="4A4977DE">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1、系统用户数：</w:t>
      </w:r>
    </w:p>
    <w:p w14:paraId="65B8CD12">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本期新建系统并发用户数按照现有用户数并考虑未来三年增量30%。</w:t>
      </w:r>
    </w:p>
    <w:p w14:paraId="4B3359D7">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院内业务系统，根据上文动态用户数，系统平均每天大约有610个员工用户在线访问系统，患者用户数参考日均门诊及住院量共3522人次，考虑未来三年本院预估日均就诊量将增加20%，且预留30%冗余，则医院内部系统用户数约为1000人次，患者使用系统用户数约为5200人次。</w:t>
      </w:r>
    </w:p>
    <w:p w14:paraId="55D040D4">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2、系统响应时间要求：</w:t>
      </w:r>
    </w:p>
    <w:p w14:paraId="6125B735">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交互类业务，如录入，修改或删除一条单据等操作，要求：</w:t>
      </w:r>
    </w:p>
    <w:p w14:paraId="1EA4AFAF">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平均响应时间：1-2(秒)；</w:t>
      </w:r>
    </w:p>
    <w:p w14:paraId="3D6F3ACC">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峰值响应时间：1-3(秒)。</w:t>
      </w:r>
    </w:p>
    <w:p w14:paraId="3BC4214F">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查询类业务，如信息查询、统计报表生成等。查询业务由于受到查询的复杂程度、查询的数据量大小等因素的影响，需要根据具体情况而定，在此给出一个参考范围，以下为详细指标：</w:t>
      </w:r>
    </w:p>
    <w:p w14:paraId="493F2276">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简单查询平均响应时间：1-2(秒)</w:t>
      </w:r>
    </w:p>
    <w:p w14:paraId="3513CE5E">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复杂查询平均响应时间：3-6(秒)要求响应时间小于3秒。</w:t>
      </w:r>
    </w:p>
    <w:p w14:paraId="5F06BB77">
      <w:pPr>
        <w:keepNext/>
        <w:keepLines/>
        <w:widowControl w:val="0"/>
        <w:numPr>
          <w:ilvl w:val="3"/>
          <w:numId w:val="1"/>
        </w:numPr>
        <w:adjustRightInd w:val="0"/>
        <w:spacing w:before="0" w:after="0" w:line="400" w:lineRule="exact"/>
        <w:ind w:left="0" w:firstLine="0"/>
        <w:jc w:val="both"/>
        <w:textAlignment w:val="baseline"/>
        <w:outlineLvl w:val="3"/>
        <w:rPr>
          <w:rFonts w:hint="default" w:ascii="黑体" w:hAnsi="黑体" w:eastAsia="黑体" w:cs="黑体"/>
          <w:b w:val="0"/>
          <w:bCs w:val="0"/>
          <w:color w:val="auto"/>
          <w:sz w:val="24"/>
          <w:szCs w:val="30"/>
          <w:highlight w:val="none"/>
          <w:lang w:val="en-US" w:eastAsia="zh-CN" w:bidi="ar-SA"/>
        </w:rPr>
      </w:pPr>
      <w:bookmarkStart w:id="3" w:name="_Toc837872236"/>
      <w:r>
        <w:rPr>
          <w:rFonts w:hint="eastAsia" w:ascii="黑体" w:hAnsi="黑体" w:eastAsia="黑体" w:cs="黑体"/>
          <w:b w:val="0"/>
          <w:bCs w:val="0"/>
          <w:color w:val="auto"/>
          <w:sz w:val="24"/>
          <w:szCs w:val="30"/>
          <w:highlight w:val="none"/>
          <w:lang w:val="en-US" w:eastAsia="zh-CN" w:bidi="ar-SA"/>
        </w:rPr>
        <w:t>网络安全需求分析</w:t>
      </w:r>
      <w:bookmarkEnd w:id="3"/>
    </w:p>
    <w:p w14:paraId="6B851230">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本项目信息安全保障需求，主要包括以下三方面：首先是符合信息安全等级保护三级的技术要求；其次是本项目信息系统所承载业务正常运行的需求；最后是消除或降低信息系统面临风险，保护服务对象个人信息隐私的需求。</w:t>
      </w:r>
    </w:p>
    <w:p w14:paraId="58B048B9">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default"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《信息安全等级保护管理办法》（公通字〔2007〕43号）、《关于开展全国重要信息系统安全等级保护定级工作的通知》（公信安〔2007〕861号）、《GB/T 22239-2019信息安全技术网络安全等级保护基本要求》等文件等级保护标准规范提出了安全信息系统应当包括安全应用支撑平台和应用软件系统两个组成部分，在应用支撑平台方面提出了应当按照计算环境、区域边界、通信网络三个环节进行分等级的安全防护建设，同时在此基础上还需要建设集中的安全管理中心，对部署在计算环境、区域边界、通信网络上的安全策略与安全机制实现集中管理。</w:t>
      </w:r>
    </w:p>
    <w:p w14:paraId="17A2B12E">
      <w:pPr>
        <w:keepNext/>
        <w:keepLines/>
        <w:widowControl w:val="0"/>
        <w:numPr>
          <w:ilvl w:val="3"/>
          <w:numId w:val="1"/>
        </w:numPr>
        <w:adjustRightInd w:val="0"/>
        <w:spacing w:before="0" w:after="0" w:line="400" w:lineRule="exact"/>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4" w:name="_Toc1068397073"/>
      <w:r>
        <w:rPr>
          <w:rFonts w:hint="eastAsia" w:ascii="黑体" w:hAnsi="黑体" w:eastAsia="黑体" w:cs="黑体"/>
          <w:b w:val="0"/>
          <w:bCs w:val="0"/>
          <w:color w:val="auto"/>
          <w:sz w:val="24"/>
          <w:szCs w:val="30"/>
          <w:highlight w:val="none"/>
          <w:lang w:val="en-US" w:eastAsia="zh-CN" w:bidi="ar-SA"/>
        </w:rPr>
        <w:t>总体业务需求分析</w:t>
      </w:r>
      <w:bookmarkEnd w:id="4"/>
    </w:p>
    <w:p w14:paraId="0AD4299A">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互联网+医疗时代，借助医院信息化建设，大力改进医院内部管理，优化服务流程，推广预约诊疗，规范诊疗行为，调动医务人员的积极性，提高服务质量和效率，明显缩短病人等候时间，努力让群众看好病。借助医院信息化建设，提高医院管理水平，促进医院管理的科学化、规范化和智能化。借助智慧医院建设，实现全院数据互联互通，规范临床信息管理，提供统计分析、数据挖掘工具、医药知识与标准查询服务，整合医疗服务信息资源，为临床研究提供技术支撑。借助医院信息化建设，让整个医疗过程更加透明化，对医生有更强的约束力，责任也更加明确，对于加强医疗监督、减少医疗事故也有很大的推进作用。必须打破以医院为单位的信息化，转变为以人为本的建设思路。要为服务对象即病人服务，而不是单纯的应对医疗行业中的竞争。医院信息化建设应符合区域医药卫生服务的要求和医院工作流程，并体现以病人为中心理念；“打通服务最后一公里”的要求，最终形成信息和服务闭环，让管理者、医生护士和患者都能感受到信息化带来的便利。</w:t>
      </w:r>
    </w:p>
    <w:p w14:paraId="043A2010">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广州市增城区中医医院的业务分为便民服务、医疗服务、医疗管理、医疗协同、运营管理、信息平台基础、平台服务集成七个域。</w:t>
      </w:r>
    </w:p>
    <w:p w14:paraId="3313F5AF">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1）信息平台基础</w:t>
      </w:r>
    </w:p>
    <w:p w14:paraId="60C5B047">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建立标准化交互体系，制定全院的数据标准、传输标准、安全体系，从生产系统、分析系统、接口交换等各层面都能够产生并使用标准化的数据和消息，将医院所有信息系统以灵活的方式进行互联互通，并对所有需要接入的系统提出标准化和改造要求，最终整合各个业务系统，实现医院的集成平台建设目标。</w:t>
      </w:r>
    </w:p>
    <w:p w14:paraId="3966D915">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2）平台服务集成</w:t>
      </w:r>
    </w:p>
    <w:p w14:paraId="2A77AB04">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通过信息平台的基础，实现医院信息二次利用，为患者提供公众服务，与外部系统数据互联互通。通过信息平台所提供的各项通用服务，共享业务逻辑和信息，实现不同域的业务整合，实现各项应用间的互操作。</w:t>
      </w:r>
    </w:p>
    <w:p w14:paraId="5E3E35CB">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3）便民服务域</w:t>
      </w:r>
    </w:p>
    <w:p w14:paraId="421903FB">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以人民群众多层次、多元化的医疗健康的需求为工作导向，依托信息技术、互联网技术，提高医疗健康服务质量和可及性。从在线咨询、在线查询、在线预约、自助诊疗、陪护服务、满意度评价、信息公开这些方面推动信息化与医疗健康服务的融合，将传统的被动服务转变主动服务。</w:t>
      </w:r>
    </w:p>
    <w:p w14:paraId="36512D39">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4）医疗服务域</w:t>
      </w:r>
    </w:p>
    <w:p w14:paraId="559D8D77">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从临床信息化的角度，使门诊、急诊、住院、护理、医技等临床业务通畅化，形成临床信息的有效闭环管理，为临床医疗质量持续改进提供保障。基于对电子病历信息的综合利用，增加护理人员对诊疗计划的制定的参与程度，并且让患者参与、知情和选择整个治疗过程。通过加强医、护、患三者沟通协同，提高医疗门诊业务、医疗住院业务、护理业务、医技业务、院外医疗业务、移动业务的服务质量，以增进患者获得感，融洽医患关系。</w:t>
      </w:r>
    </w:p>
    <w:p w14:paraId="2C0724DC">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5）医疗管理域</w:t>
      </w:r>
    </w:p>
    <w:p w14:paraId="2069845D">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通过对医务管理、护理管理、药事管理、院感管理、数据上报管理等业务进行流程优化、业务再造、系统整合、数据共享，加强互操作性，全面提升医疗管理信息化程度、优化医疗管理流程，统筹管理医护服务质量，系统处理突发事件，进而提高医疗质量和医疗效率、减少医疗问题、降低医疗成本、优化资源配置。</w:t>
      </w:r>
    </w:p>
    <w:p w14:paraId="4339AF92">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6）医疗协同域</w:t>
      </w:r>
    </w:p>
    <w:p w14:paraId="2636F9B0">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通过医院信息平台提供的院内共享业务逻辑和信息，实现科室间信息互联互通，帮助医护人员进行跨科室合作的诊疗活动，提高医院的服务水平。</w:t>
      </w:r>
    </w:p>
    <w:p w14:paraId="5053B23A">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7）运营管理域</w:t>
      </w:r>
    </w:p>
    <w:p w14:paraId="1456F3AD">
      <w:pPr>
        <w:keepNext w:val="0"/>
        <w:keepLines w:val="0"/>
        <w:pageBreakBefore w:val="0"/>
        <w:widowControl w:val="0"/>
        <w:kinsoku/>
        <w:wordWrap/>
        <w:overflowPunct/>
        <w:topLinePunct w:val="0"/>
        <w:autoSpaceDE/>
        <w:autoSpaceDN/>
        <w:bidi w:val="0"/>
        <w:adjustRightInd w:val="0"/>
        <w:snapToGrid/>
        <w:spacing w:before="0" w:after="0" w:line="400" w:lineRule="exact"/>
        <w:ind w:firstLine="482"/>
        <w:jc w:val="both"/>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建立面向合理流程的扁平化管理模式，最大限度发挥医院资源效能，可有效提升传统HIS的管理功能，从而使医院全面实现管理的可视化，使财务管理、预算管理、成本管理、绩效管理、资产管理和物资管理更加科学，使得医护分开核算、三级分科管理、零库存管理、顺价作价、多方融资、多方支付以及供应链管理等先进管理方法在医院管理中应用成为可能。</w:t>
      </w:r>
    </w:p>
    <w:p w14:paraId="0E5C1725">
      <w:pPr>
        <w:keepNext/>
        <w:keepLines/>
        <w:widowControl w:val="0"/>
        <w:numPr>
          <w:ilvl w:val="2"/>
          <w:numId w:val="1"/>
        </w:numPr>
        <w:adjustRightInd w:val="0"/>
        <w:spacing w:before="180" w:after="180" w:line="400" w:lineRule="exact"/>
        <w:jc w:val="both"/>
        <w:textAlignment w:val="baseline"/>
        <w:outlineLvl w:val="2"/>
        <w:rPr>
          <w:rFonts w:hint="eastAsia" w:ascii="黑体" w:hAnsi="黑体" w:eastAsia="黑体" w:cs="黑体"/>
          <w:b w:val="0"/>
          <w:bCs w:val="0"/>
          <w:color w:val="auto"/>
          <w:sz w:val="24"/>
          <w:szCs w:val="24"/>
          <w:highlight w:val="none"/>
          <w:lang w:val="en-US" w:eastAsia="zh-CN" w:bidi="ar-SA"/>
        </w:rPr>
      </w:pPr>
      <w:bookmarkStart w:id="5" w:name="_Toc2688"/>
      <w:bookmarkStart w:id="6" w:name="_Toc1438833344"/>
      <w:r>
        <w:rPr>
          <w:rFonts w:hint="eastAsia" w:ascii="黑体" w:hAnsi="黑体" w:eastAsia="黑体" w:cs="黑体"/>
          <w:b w:val="0"/>
          <w:bCs w:val="0"/>
          <w:color w:val="auto"/>
          <w:sz w:val="24"/>
          <w:szCs w:val="24"/>
          <w:highlight w:val="none"/>
          <w:lang w:val="en-US" w:eastAsia="zh-CN" w:bidi="ar-SA"/>
        </w:rPr>
        <w:t>功能需求分析</w:t>
      </w:r>
      <w:bookmarkEnd w:id="5"/>
      <w:bookmarkEnd w:id="6"/>
    </w:p>
    <w:p w14:paraId="6A50E8E8">
      <w:pPr>
        <w:adjustRightInd w:val="0"/>
        <w:spacing w:before="0" w:after="0" w:line="400" w:lineRule="exact"/>
        <w:ind w:firstLine="480" w:firstLineChars="200"/>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表2通过本次广州市增城区中医医院的需求调研，整理出了以下需求明细概况：</w:t>
      </w:r>
    </w:p>
    <w:tbl>
      <w:tblPr>
        <w:tblStyle w:val="4"/>
        <w:tblW w:w="45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4410"/>
        <w:gridCol w:w="2672"/>
      </w:tblGrid>
      <w:tr w14:paraId="091D9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pct"/>
            <w:vAlign w:val="center"/>
          </w:tcPr>
          <w:p w14:paraId="6905A41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序号</w:t>
            </w:r>
          </w:p>
        </w:tc>
        <w:tc>
          <w:tcPr>
            <w:tcW w:w="2846" w:type="pct"/>
            <w:vAlign w:val="center"/>
          </w:tcPr>
          <w:p w14:paraId="389A1BE6">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政策性文件</w:t>
            </w:r>
          </w:p>
        </w:tc>
        <w:tc>
          <w:tcPr>
            <w:tcW w:w="1724" w:type="pct"/>
            <w:vAlign w:val="center"/>
          </w:tcPr>
          <w:p w14:paraId="17B8A6A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对应的功能说明</w:t>
            </w:r>
          </w:p>
        </w:tc>
      </w:tr>
      <w:tr w14:paraId="185EA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pct"/>
            <w:vAlign w:val="center"/>
          </w:tcPr>
          <w:p w14:paraId="41C8505D">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w:t>
            </w:r>
          </w:p>
        </w:tc>
        <w:tc>
          <w:tcPr>
            <w:tcW w:w="2846" w:type="pct"/>
            <w:vAlign w:val="top"/>
          </w:tcPr>
          <w:p w14:paraId="6CD2E772">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广州市医疗保险服务中心关于推进就医信用无感支付开展医保医疗费用结算业务的通知</w:t>
            </w:r>
          </w:p>
        </w:tc>
        <w:tc>
          <w:tcPr>
            <w:tcW w:w="1724" w:type="pct"/>
            <w:vAlign w:val="center"/>
          </w:tcPr>
          <w:p w14:paraId="4676724E">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无感支付功能</w:t>
            </w:r>
          </w:p>
        </w:tc>
      </w:tr>
      <w:tr w14:paraId="1D85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428" w:type="pct"/>
            <w:vAlign w:val="center"/>
          </w:tcPr>
          <w:p w14:paraId="01A4F071">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w:t>
            </w:r>
          </w:p>
        </w:tc>
        <w:tc>
          <w:tcPr>
            <w:tcW w:w="2846" w:type="pct"/>
            <w:vAlign w:val="center"/>
          </w:tcPr>
          <w:p w14:paraId="3AFA4CC4">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广州市医疗保险服务中心关于进一步做好新生儿医疗费用医保结算服务的通知</w:t>
            </w:r>
          </w:p>
        </w:tc>
        <w:tc>
          <w:tcPr>
            <w:tcW w:w="1724" w:type="pct"/>
            <w:vAlign w:val="center"/>
          </w:tcPr>
          <w:p w14:paraId="527FF46D">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新生儿医疗费用医保结算服务对接功能</w:t>
            </w:r>
          </w:p>
        </w:tc>
      </w:tr>
      <w:tr w14:paraId="5E0B6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28" w:type="pct"/>
            <w:vAlign w:val="center"/>
          </w:tcPr>
          <w:p w14:paraId="00F7C436">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w:t>
            </w:r>
          </w:p>
        </w:tc>
        <w:tc>
          <w:tcPr>
            <w:tcW w:w="2846" w:type="pct"/>
            <w:vAlign w:val="center"/>
          </w:tcPr>
          <w:p w14:paraId="62544283">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广州市医疗保险服务中心关于进一步深入开展医疗收费电子结算凭证应用的通知</w:t>
            </w:r>
          </w:p>
        </w:tc>
        <w:tc>
          <w:tcPr>
            <w:tcW w:w="1724" w:type="pct"/>
            <w:vAlign w:val="center"/>
          </w:tcPr>
          <w:p w14:paraId="074531CE">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医疗收费电子结算凭证应用功能</w:t>
            </w:r>
          </w:p>
        </w:tc>
      </w:tr>
      <w:tr w14:paraId="0D697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28" w:type="pct"/>
            <w:vAlign w:val="center"/>
          </w:tcPr>
          <w:p w14:paraId="4358E81D">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4</w:t>
            </w:r>
          </w:p>
        </w:tc>
        <w:tc>
          <w:tcPr>
            <w:tcW w:w="2846" w:type="pct"/>
            <w:vAlign w:val="center"/>
          </w:tcPr>
          <w:p w14:paraId="55D82587">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广州市医疗保险服务中心关于开展定点医疗机构医保药品追溯码信息采集试点工作的通知</w:t>
            </w:r>
          </w:p>
        </w:tc>
        <w:tc>
          <w:tcPr>
            <w:tcW w:w="1724" w:type="pct"/>
            <w:vAlign w:val="center"/>
          </w:tcPr>
          <w:p w14:paraId="5B05801B">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定点医疗机构医保药品</w:t>
            </w:r>
            <w:r>
              <w:rPr>
                <w:rFonts w:hint="default" w:ascii="仿宋_GB2312" w:hAnsi="黑体" w:eastAsia="仿宋_GB2312" w:cs="黑体"/>
                <w:b w:val="0"/>
                <w:bCs w:val="0"/>
                <w:color w:val="auto"/>
                <w:kern w:val="0"/>
                <w:sz w:val="21"/>
                <w:szCs w:val="21"/>
                <w:highlight w:val="none"/>
                <w:lang w:val="en-US" w:eastAsia="zh-CN"/>
              </w:rPr>
              <w:t>追溯码</w:t>
            </w:r>
            <w:r>
              <w:rPr>
                <w:rFonts w:hint="eastAsia" w:ascii="仿宋_GB2312" w:hAnsi="黑体" w:eastAsia="仿宋_GB2312" w:cs="黑体"/>
                <w:b w:val="0"/>
                <w:bCs w:val="0"/>
                <w:color w:val="auto"/>
                <w:kern w:val="0"/>
                <w:sz w:val="21"/>
                <w:szCs w:val="21"/>
                <w:highlight w:val="none"/>
                <w:lang w:val="en-US" w:eastAsia="zh-CN"/>
              </w:rPr>
              <w:t>信息采集对接功能</w:t>
            </w:r>
          </w:p>
        </w:tc>
      </w:tr>
      <w:tr w14:paraId="4C74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28" w:type="pct"/>
            <w:vAlign w:val="center"/>
          </w:tcPr>
          <w:p w14:paraId="3897A504">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w:t>
            </w:r>
          </w:p>
        </w:tc>
        <w:tc>
          <w:tcPr>
            <w:tcW w:w="2846" w:type="pct"/>
            <w:vAlign w:val="center"/>
          </w:tcPr>
          <w:p w14:paraId="4CACE7AA">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广州市医疗保险服务中心关于做好门诊特定病种编码统一工作的通知</w:t>
            </w:r>
          </w:p>
        </w:tc>
        <w:tc>
          <w:tcPr>
            <w:tcW w:w="1724" w:type="pct"/>
            <w:vAlign w:val="center"/>
          </w:tcPr>
          <w:p w14:paraId="5A4719A2">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门诊特定病种编码统一应用功能</w:t>
            </w:r>
          </w:p>
        </w:tc>
      </w:tr>
      <w:tr w14:paraId="2043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28" w:type="pct"/>
            <w:vAlign w:val="center"/>
          </w:tcPr>
          <w:p w14:paraId="5C92F054">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6</w:t>
            </w:r>
          </w:p>
        </w:tc>
        <w:tc>
          <w:tcPr>
            <w:tcW w:w="2846" w:type="pct"/>
            <w:vAlign w:val="center"/>
          </w:tcPr>
          <w:p w14:paraId="5FB45477">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广东省医疗保障局转发国家医保局办公室关于开展医保电子凭证全流程应用“走流程、找堵点”活动的通知</w:t>
            </w:r>
          </w:p>
        </w:tc>
        <w:tc>
          <w:tcPr>
            <w:tcW w:w="1724" w:type="pct"/>
            <w:vAlign w:val="center"/>
          </w:tcPr>
          <w:p w14:paraId="0986E65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医保电子凭证全流程应用接口改造功能</w:t>
            </w:r>
          </w:p>
        </w:tc>
      </w:tr>
      <w:tr w14:paraId="0D420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28" w:type="pct"/>
            <w:vAlign w:val="center"/>
          </w:tcPr>
          <w:p w14:paraId="1454FC2D">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7</w:t>
            </w:r>
          </w:p>
        </w:tc>
        <w:tc>
          <w:tcPr>
            <w:tcW w:w="2846" w:type="pct"/>
            <w:vAlign w:val="center"/>
          </w:tcPr>
          <w:p w14:paraId="4612BC41">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广州市医疗保险服务中心关于进一步推进开展国家医保谈判药品“双通道”业务的通知</w:t>
            </w:r>
          </w:p>
        </w:tc>
        <w:tc>
          <w:tcPr>
            <w:tcW w:w="1724" w:type="pct"/>
            <w:vAlign w:val="center"/>
          </w:tcPr>
          <w:p w14:paraId="1A9C2ED0">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国家医保谈判药品“双通道”接口改造功能</w:t>
            </w:r>
          </w:p>
        </w:tc>
      </w:tr>
      <w:tr w14:paraId="46644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28" w:type="pct"/>
            <w:vAlign w:val="center"/>
          </w:tcPr>
          <w:p w14:paraId="1ED9CF14">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8</w:t>
            </w:r>
          </w:p>
        </w:tc>
        <w:tc>
          <w:tcPr>
            <w:tcW w:w="2846" w:type="pct"/>
            <w:vAlign w:val="center"/>
          </w:tcPr>
          <w:p w14:paraId="4D0B8EEA">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广州市医疗保险服务中心关于完善参保人员医疗救助金记账结算工作的通知</w:t>
            </w:r>
          </w:p>
        </w:tc>
        <w:tc>
          <w:tcPr>
            <w:tcW w:w="1724" w:type="pct"/>
            <w:vAlign w:val="center"/>
          </w:tcPr>
          <w:p w14:paraId="227B3B70">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完善参保人员医疗救助金记账结算业务接口改造功能</w:t>
            </w:r>
          </w:p>
        </w:tc>
      </w:tr>
      <w:tr w14:paraId="2CB5C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28" w:type="pct"/>
            <w:vAlign w:val="center"/>
          </w:tcPr>
          <w:p w14:paraId="632DAB6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9</w:t>
            </w:r>
          </w:p>
        </w:tc>
        <w:tc>
          <w:tcPr>
            <w:tcW w:w="2846" w:type="pct"/>
            <w:vAlign w:val="center"/>
          </w:tcPr>
          <w:p w14:paraId="3DD21E9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广州市医疗保险服务中心关于做好医保结算清单4101A接口更新工作的通知</w:t>
            </w:r>
          </w:p>
        </w:tc>
        <w:tc>
          <w:tcPr>
            <w:tcW w:w="1724" w:type="pct"/>
            <w:vAlign w:val="center"/>
          </w:tcPr>
          <w:p w14:paraId="1EE68C2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医保结算清单4101A接口</w:t>
            </w:r>
            <w:r>
              <w:rPr>
                <w:rFonts w:hint="eastAsia" w:ascii="仿宋_GB2312" w:hAnsi="黑体" w:eastAsia="仿宋_GB2312" w:cs="黑体"/>
                <w:b w:val="0"/>
                <w:bCs w:val="0"/>
                <w:color w:val="auto"/>
                <w:kern w:val="0"/>
                <w:sz w:val="21"/>
                <w:szCs w:val="21"/>
                <w:highlight w:val="none"/>
                <w:lang w:val="en-US" w:eastAsia="zh-CN"/>
              </w:rPr>
              <w:t>改造功能</w:t>
            </w:r>
          </w:p>
        </w:tc>
      </w:tr>
      <w:tr w14:paraId="23A64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28" w:type="pct"/>
            <w:vAlign w:val="center"/>
          </w:tcPr>
          <w:p w14:paraId="5A7C9FE9">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10</w:t>
            </w:r>
          </w:p>
        </w:tc>
        <w:tc>
          <w:tcPr>
            <w:tcW w:w="2846" w:type="pct"/>
            <w:vAlign w:val="center"/>
          </w:tcPr>
          <w:p w14:paraId="2E3C98C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广州市医疗保险服务中心关于印发智能审核事前提醒工作指引的通知</w:t>
            </w:r>
          </w:p>
        </w:tc>
        <w:tc>
          <w:tcPr>
            <w:tcW w:w="1724" w:type="pct"/>
            <w:vAlign w:val="center"/>
          </w:tcPr>
          <w:p w14:paraId="36F3E39D">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医保智能审核功能</w:t>
            </w:r>
          </w:p>
        </w:tc>
      </w:tr>
      <w:tr w14:paraId="5FA2B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28" w:type="pct"/>
            <w:vAlign w:val="center"/>
          </w:tcPr>
          <w:p w14:paraId="425DC75B">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11</w:t>
            </w:r>
          </w:p>
        </w:tc>
        <w:tc>
          <w:tcPr>
            <w:tcW w:w="2846" w:type="pct"/>
            <w:vAlign w:val="center"/>
          </w:tcPr>
          <w:p w14:paraId="2913ACE0">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关于做好 2025 年我省工伤保险跨省异地就医直接结算试点扩围有关工作的通知</w:t>
            </w:r>
          </w:p>
        </w:tc>
        <w:tc>
          <w:tcPr>
            <w:tcW w:w="1724" w:type="pct"/>
            <w:vAlign w:val="center"/>
          </w:tcPr>
          <w:p w14:paraId="16307D3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 xml:space="preserve">工伤保险跨省异地就医直接结算 </w:t>
            </w:r>
          </w:p>
        </w:tc>
      </w:tr>
      <w:tr w14:paraId="197E5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428" w:type="pct"/>
            <w:vAlign w:val="center"/>
          </w:tcPr>
          <w:p w14:paraId="78CE7FE1">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12</w:t>
            </w:r>
          </w:p>
        </w:tc>
        <w:tc>
          <w:tcPr>
            <w:tcW w:w="2846" w:type="pct"/>
            <w:vAlign w:val="center"/>
          </w:tcPr>
          <w:p w14:paraId="02327DD7">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广东省新就业形态就业人员职业伤害保障待遇核付管理指导意见或新文件要求</w:t>
            </w:r>
          </w:p>
        </w:tc>
        <w:tc>
          <w:tcPr>
            <w:tcW w:w="1724" w:type="pct"/>
            <w:vAlign w:val="center"/>
          </w:tcPr>
          <w:p w14:paraId="7E24F81D">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工伤保险职业伤害保障</w:t>
            </w:r>
          </w:p>
        </w:tc>
      </w:tr>
      <w:tr w14:paraId="1A7B2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28" w:type="pct"/>
            <w:vAlign w:val="center"/>
          </w:tcPr>
          <w:p w14:paraId="26827CA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13</w:t>
            </w:r>
          </w:p>
        </w:tc>
        <w:tc>
          <w:tcPr>
            <w:tcW w:w="2846" w:type="pct"/>
            <w:vAlign w:val="center"/>
          </w:tcPr>
          <w:p w14:paraId="48FD6CB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广州市卫生健康委关于转发&lt;加快推进国家传染病智能监测预警前置软件部署工作方案&gt;的通知</w:t>
            </w:r>
          </w:p>
        </w:tc>
        <w:tc>
          <w:tcPr>
            <w:tcW w:w="1724" w:type="pct"/>
            <w:vAlign w:val="center"/>
          </w:tcPr>
          <w:p w14:paraId="7DB369D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传染病智能监测预警前置软件部署</w:t>
            </w:r>
          </w:p>
        </w:tc>
      </w:tr>
      <w:tr w14:paraId="30380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28" w:type="pct"/>
            <w:vAlign w:val="center"/>
          </w:tcPr>
          <w:p w14:paraId="6E793D4E">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14</w:t>
            </w:r>
          </w:p>
        </w:tc>
        <w:tc>
          <w:tcPr>
            <w:tcW w:w="2846" w:type="pct"/>
            <w:vAlign w:val="center"/>
          </w:tcPr>
          <w:p w14:paraId="7A21DC1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呼气试验测试仪接口</w:t>
            </w:r>
          </w:p>
        </w:tc>
        <w:tc>
          <w:tcPr>
            <w:tcW w:w="1724" w:type="pct"/>
            <w:vAlign w:val="center"/>
          </w:tcPr>
          <w:p w14:paraId="646A9A3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呼气试验测试仪对接</w:t>
            </w:r>
          </w:p>
        </w:tc>
      </w:tr>
      <w:tr w14:paraId="6A2E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28" w:type="pct"/>
            <w:vAlign w:val="center"/>
          </w:tcPr>
          <w:p w14:paraId="38782861">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15</w:t>
            </w:r>
          </w:p>
        </w:tc>
        <w:tc>
          <w:tcPr>
            <w:tcW w:w="2846" w:type="pct"/>
            <w:vAlign w:val="center"/>
          </w:tcPr>
          <w:p w14:paraId="4C34148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国家卫生健康委医政司开展门（急）诊诊疗信息数据报告有关工作的通知</w:t>
            </w:r>
          </w:p>
        </w:tc>
        <w:tc>
          <w:tcPr>
            <w:tcW w:w="1724" w:type="pct"/>
            <w:vAlign w:val="center"/>
          </w:tcPr>
          <w:p w14:paraId="1DE0E96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门急诊诊疗信息页</w:t>
            </w:r>
          </w:p>
        </w:tc>
      </w:tr>
      <w:tr w14:paraId="4F0BB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428" w:type="pct"/>
            <w:vAlign w:val="center"/>
          </w:tcPr>
          <w:p w14:paraId="6CE25A5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16</w:t>
            </w:r>
          </w:p>
        </w:tc>
        <w:tc>
          <w:tcPr>
            <w:tcW w:w="2846" w:type="pct"/>
            <w:vAlign w:val="center"/>
          </w:tcPr>
          <w:p w14:paraId="26AA61C6">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 xml:space="preserve">合同签订起一年内下达的其他医保政策文件 </w:t>
            </w:r>
          </w:p>
        </w:tc>
        <w:tc>
          <w:tcPr>
            <w:tcW w:w="1724" w:type="pct"/>
            <w:vAlign w:val="center"/>
          </w:tcPr>
          <w:p w14:paraId="72A90D60">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功能根据下达的医保政策文件需求</w:t>
            </w:r>
          </w:p>
        </w:tc>
      </w:tr>
    </w:tbl>
    <w:p w14:paraId="49E1A68C">
      <w:pPr>
        <w:jc w:val="both"/>
        <w:rPr>
          <w:rFonts w:hint="eastAsia" w:ascii="仿宋" w:hAnsi="仿宋" w:eastAsia="仿宋" w:cs="仿宋"/>
          <w:color w:val="auto"/>
          <w:sz w:val="30"/>
          <w:szCs w:val="30"/>
        </w:rPr>
      </w:pPr>
    </w:p>
    <w:p w14:paraId="6150F924">
      <w:pPr>
        <w:keepNext/>
        <w:keepLines/>
        <w:widowControl w:val="0"/>
        <w:numPr>
          <w:ilvl w:val="2"/>
          <w:numId w:val="1"/>
        </w:numPr>
        <w:adjustRightInd w:val="0"/>
        <w:spacing w:before="180" w:after="180" w:line="400" w:lineRule="exact"/>
        <w:jc w:val="both"/>
        <w:textAlignment w:val="baseline"/>
        <w:outlineLvl w:val="2"/>
        <w:rPr>
          <w:rFonts w:hint="eastAsia" w:ascii="黑体" w:hAnsi="黑体" w:eastAsia="黑体" w:cs="Times New Roman"/>
          <w:b w:val="0"/>
          <w:bCs w:val="0"/>
          <w:color w:val="auto"/>
          <w:sz w:val="24"/>
          <w:szCs w:val="24"/>
          <w:highlight w:val="none"/>
          <w:lang w:val="en-US" w:eastAsia="zh-CN" w:bidi="ar-SA"/>
        </w:rPr>
      </w:pPr>
      <w:bookmarkStart w:id="7" w:name="_Toc1245883975"/>
      <w:bookmarkStart w:id="8" w:name="_Toc17659"/>
      <w:r>
        <w:rPr>
          <w:rFonts w:hint="eastAsia" w:ascii="黑体" w:hAnsi="黑体" w:eastAsia="黑体" w:cs="Times New Roman"/>
          <w:b w:val="0"/>
          <w:bCs w:val="0"/>
          <w:color w:val="auto"/>
          <w:sz w:val="24"/>
          <w:szCs w:val="24"/>
          <w:highlight w:val="none"/>
          <w:lang w:val="en-US" w:eastAsia="zh-CN" w:bidi="ar-SA"/>
        </w:rPr>
        <w:t>总体设计</w:t>
      </w:r>
      <w:bookmarkEnd w:id="7"/>
      <w:bookmarkEnd w:id="8"/>
    </w:p>
    <w:p w14:paraId="580915F7">
      <w:pPr>
        <w:keepNext/>
        <w:keepLines/>
        <w:widowControl w:val="0"/>
        <w:numPr>
          <w:ilvl w:val="3"/>
          <w:numId w:val="1"/>
        </w:numPr>
        <w:adjustRightInd w:val="0"/>
        <w:spacing w:before="0" w:after="0" w:line="400" w:lineRule="exact"/>
        <w:ind w:left="0" w:firstLine="0"/>
        <w:jc w:val="both"/>
        <w:textAlignment w:val="baseline"/>
        <w:outlineLvl w:val="3"/>
        <w:rPr>
          <w:rFonts w:ascii="黑体" w:hAnsi="黑体" w:eastAsia="黑体" w:cs="黑体"/>
          <w:b w:val="0"/>
          <w:bCs w:val="0"/>
          <w:color w:val="auto"/>
          <w:sz w:val="24"/>
          <w:szCs w:val="30"/>
          <w:highlight w:val="none"/>
          <w:lang w:val="en-US" w:eastAsia="zh-CN" w:bidi="ar-SA"/>
        </w:rPr>
      </w:pPr>
      <w:bookmarkStart w:id="9" w:name="_Toc1026662708"/>
      <w:r>
        <w:rPr>
          <w:rFonts w:hint="eastAsia" w:ascii="黑体" w:hAnsi="黑体" w:eastAsia="黑体" w:cs="黑体"/>
          <w:b w:val="0"/>
          <w:bCs w:val="0"/>
          <w:color w:val="auto"/>
          <w:sz w:val="24"/>
          <w:szCs w:val="30"/>
          <w:highlight w:val="none"/>
          <w:lang w:val="en-US" w:eastAsia="zh-CN" w:bidi="ar-SA"/>
        </w:rPr>
        <w:t>总体架构图</w:t>
      </w:r>
      <w:bookmarkEnd w:id="9"/>
    </w:p>
    <w:p w14:paraId="04A8598A">
      <w:pPr>
        <w:adjustRightInd w:val="0"/>
        <w:spacing w:before="60" w:after="60" w:line="360" w:lineRule="auto"/>
        <w:textAlignment w:val="baseline"/>
        <w:rPr>
          <w:rFonts w:ascii="Times New Roman" w:hAnsi="Times New Roman" w:cs="Times New Roman"/>
          <w:b w:val="0"/>
          <w:bCs w:val="0"/>
          <w:color w:val="auto"/>
          <w:kern w:val="0"/>
          <w:sz w:val="24"/>
          <w:szCs w:val="20"/>
          <w:highlight w:val="none"/>
        </w:rPr>
      </w:pPr>
      <w:r>
        <w:rPr>
          <w:rFonts w:ascii="Times New Roman" w:hAnsi="Times New Roman" w:cs="Times New Roman"/>
          <w:b w:val="0"/>
          <w:bCs w:val="0"/>
          <w:color w:val="auto"/>
          <w:kern w:val="0"/>
          <w:sz w:val="24"/>
          <w:szCs w:val="20"/>
          <w:highlight w:val="none"/>
        </w:rPr>
        <w:object>
          <v:shape id="_x0000_i1025" o:spt="75" type="#_x0000_t75" style="height:288pt;width:415.1pt;" o:ole="t" filled="f" o:preferrelative="t" stroked="f" coordsize="21600,21600">
            <v:path/>
            <v:fill on="f" focussize="0,0"/>
            <v:stroke on="f" joinstyle="miter"/>
            <v:imagedata r:id="rId4" o:title=""/>
            <o:lock v:ext="edit" aspectratio="t"/>
            <w10:wrap type="none"/>
            <w10:anchorlock/>
          </v:shape>
          <o:OLEObject Type="Embed" ProgID="Visio.Drawing.11" ShapeID="_x0000_i1025" DrawAspect="Content" ObjectID="_1468075725">
            <o:LockedField>false</o:LockedField>
          </o:OLEObject>
        </w:object>
      </w:r>
    </w:p>
    <w:p w14:paraId="004B215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center"/>
        <w:textAlignment w:val="baseline"/>
        <w:rPr>
          <w:rFonts w:hint="default"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rPr>
        <w:t>图3</w:t>
      </w:r>
      <w:r>
        <w:rPr>
          <w:rFonts w:ascii="仿宋_GB2312" w:hAnsi="Times New Roman" w:eastAsia="仿宋_GB2312" w:cs="Times New Roman"/>
          <w:b w:val="0"/>
          <w:bCs w:val="0"/>
          <w:color w:val="auto"/>
          <w:kern w:val="0"/>
          <w:sz w:val="24"/>
          <w:szCs w:val="20"/>
          <w:highlight w:val="none"/>
        </w:rPr>
        <w:t>.</w:t>
      </w:r>
      <w:r>
        <w:rPr>
          <w:rFonts w:hint="eastAsia" w:ascii="仿宋_GB2312" w:hAnsi="Times New Roman" w:eastAsia="仿宋_GB2312" w:cs="Times New Roman"/>
          <w:b w:val="0"/>
          <w:bCs w:val="0"/>
          <w:color w:val="auto"/>
          <w:kern w:val="0"/>
          <w:sz w:val="24"/>
          <w:szCs w:val="20"/>
          <w:highlight w:val="none"/>
          <w:lang w:val="en-US" w:eastAsia="zh-CN"/>
        </w:rPr>
        <w:t>20总体架构图</w:t>
      </w:r>
    </w:p>
    <w:p w14:paraId="244AD3B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医院信息平台信息交换层，主要用于实现全院级应用系统互联互通的需求；医院信息平台信息资源层，主要服务于建立全院级的病人主索引的需求、建立全院级电子病历的需求，并为医院信息二次利用、为患者提供公众服务、与外部互联奠定数据基础；医院信息平台应用层包含了建立在医院信息平台信息资源层、医院信息平台服务层、医院信息平台信息交换层的基础上的全院级应用。</w:t>
      </w:r>
    </w:p>
    <w:p w14:paraId="35CF2E33">
      <w:pPr>
        <w:keepNext/>
        <w:keepLines/>
        <w:widowControl w:val="0"/>
        <w:numPr>
          <w:ilvl w:val="3"/>
          <w:numId w:val="1"/>
        </w:numPr>
        <w:adjustRightInd w:val="0"/>
        <w:spacing w:before="0" w:after="0" w:line="400" w:lineRule="exact"/>
        <w:ind w:left="0" w:firstLine="0"/>
        <w:jc w:val="both"/>
        <w:textAlignment w:val="baseline"/>
        <w:outlineLvl w:val="3"/>
        <w:rPr>
          <w:rFonts w:ascii="黑体" w:hAnsi="黑体" w:eastAsia="黑体" w:cs="黑体"/>
          <w:b w:val="0"/>
          <w:bCs w:val="0"/>
          <w:color w:val="auto"/>
          <w:sz w:val="24"/>
          <w:szCs w:val="30"/>
          <w:highlight w:val="none"/>
          <w:lang w:val="en-US" w:eastAsia="zh-CN" w:bidi="ar-SA"/>
        </w:rPr>
      </w:pPr>
      <w:bookmarkStart w:id="10" w:name="_Toc89029711"/>
      <w:r>
        <w:rPr>
          <w:rFonts w:hint="eastAsia" w:ascii="黑体" w:hAnsi="黑体" w:eastAsia="黑体" w:cs="黑体"/>
          <w:b w:val="0"/>
          <w:bCs w:val="0"/>
          <w:color w:val="auto"/>
          <w:sz w:val="24"/>
          <w:szCs w:val="30"/>
          <w:highlight w:val="none"/>
          <w:lang w:val="en-US" w:eastAsia="zh-CN" w:bidi="ar-SA"/>
        </w:rPr>
        <w:t>应用架构</w:t>
      </w:r>
      <w:bookmarkEnd w:id="10"/>
    </w:p>
    <w:p w14:paraId="4021CD1A">
      <w:pPr>
        <w:adjustRightInd w:val="0"/>
        <w:spacing w:before="60" w:after="60" w:line="360" w:lineRule="auto"/>
        <w:jc w:val="center"/>
        <w:textAlignment w:val="baseline"/>
        <w:rPr>
          <w:rFonts w:hint="default" w:ascii="仿宋_GB2312" w:hAnsi="Times New Roman" w:eastAsia="仿宋_GB2312" w:cs="Times New Roman"/>
          <w:b w:val="0"/>
          <w:bCs w:val="0"/>
          <w:color w:val="auto"/>
          <w:kern w:val="0"/>
          <w:sz w:val="24"/>
          <w:szCs w:val="20"/>
          <w:highlight w:val="none"/>
          <w:lang w:val="en-US" w:eastAsia="zh-CN"/>
        </w:rPr>
      </w:pPr>
      <w:r>
        <w:rPr>
          <w:rFonts w:ascii="Times New Roman" w:hAnsi="Times New Roman" w:cs="Times New Roman"/>
          <w:b w:val="0"/>
          <w:bCs w:val="0"/>
          <w:color w:val="auto"/>
          <w:kern w:val="0"/>
          <w:sz w:val="24"/>
          <w:szCs w:val="20"/>
          <w:highlight w:val="none"/>
        </w:rPr>
        <w:object>
          <v:shape id="_x0000_i1026" o:spt="75" type="#_x0000_t75" style="height:267.9pt;width:416.45pt;" o:ole="t" filled="f" o:preferrelative="t" stroked="f" coordsize="21600,21600">
            <v:path/>
            <v:fill on="f" focussize="0,0"/>
            <v:stroke on="f"/>
            <v:imagedata r:id="rId5" o:title=""/>
            <o:lock v:ext="edit" aspectratio="t"/>
            <w10:wrap type="none"/>
            <w10:anchorlock/>
          </v:shape>
          <o:OLEObject Type="Embed" ProgID="Visio.Drawing.11" ShapeID="_x0000_i1026" DrawAspect="Content" ObjectID="_1468075726">
            <o:LockedField>false</o:LockedField>
          </o:OLEObject>
        </w:object>
      </w:r>
      <w:r>
        <w:rPr>
          <w:rFonts w:hint="eastAsia" w:ascii="Times New Roman" w:hAnsi="Times New Roman" w:cs="Times New Roman"/>
          <w:b w:val="0"/>
          <w:bCs w:val="0"/>
          <w:color w:val="auto"/>
          <w:kern w:val="0"/>
          <w:sz w:val="24"/>
          <w:szCs w:val="20"/>
          <w:highlight w:val="none"/>
          <w:lang w:val="en-US" w:eastAsia="zh-CN"/>
        </w:rPr>
        <w:t xml:space="preserve">  </w:t>
      </w:r>
      <w:r>
        <w:rPr>
          <w:rFonts w:hint="eastAsia" w:ascii="仿宋_GB2312" w:hAnsi="Times New Roman" w:eastAsia="仿宋_GB2312" w:cs="Times New Roman"/>
          <w:b w:val="0"/>
          <w:bCs w:val="0"/>
          <w:color w:val="auto"/>
          <w:kern w:val="0"/>
          <w:sz w:val="24"/>
          <w:szCs w:val="20"/>
          <w:highlight w:val="none"/>
          <w:lang w:val="en-US" w:eastAsia="zh-CN"/>
        </w:rPr>
        <w:t xml:space="preserve">  </w:t>
      </w:r>
      <w:r>
        <w:rPr>
          <w:rFonts w:hint="eastAsia" w:ascii="仿宋_GB2312" w:hAnsi="Times New Roman" w:eastAsia="仿宋_GB2312" w:cs="Times New Roman"/>
          <w:b w:val="0"/>
          <w:bCs w:val="0"/>
          <w:color w:val="auto"/>
          <w:kern w:val="0"/>
          <w:sz w:val="24"/>
          <w:szCs w:val="20"/>
          <w:highlight w:val="none"/>
        </w:rPr>
        <w:t>图3</w:t>
      </w:r>
      <w:r>
        <w:rPr>
          <w:rFonts w:ascii="仿宋_GB2312" w:hAnsi="Times New Roman" w:eastAsia="仿宋_GB2312" w:cs="Times New Roman"/>
          <w:b w:val="0"/>
          <w:bCs w:val="0"/>
          <w:color w:val="auto"/>
          <w:kern w:val="0"/>
          <w:sz w:val="24"/>
          <w:szCs w:val="20"/>
          <w:highlight w:val="none"/>
        </w:rPr>
        <w:t>.</w:t>
      </w:r>
      <w:r>
        <w:rPr>
          <w:rFonts w:hint="eastAsia" w:ascii="仿宋_GB2312" w:hAnsi="Times New Roman" w:eastAsia="仿宋_GB2312" w:cs="Times New Roman"/>
          <w:b w:val="0"/>
          <w:bCs w:val="0"/>
          <w:color w:val="auto"/>
          <w:kern w:val="0"/>
          <w:sz w:val="24"/>
          <w:szCs w:val="20"/>
          <w:highlight w:val="none"/>
          <w:lang w:val="en-US" w:eastAsia="zh-CN"/>
        </w:rPr>
        <w:t>21应用架构</w:t>
      </w:r>
    </w:p>
    <w:p w14:paraId="6928A596">
      <w:pPr>
        <w:adjustRightInd w:val="0"/>
        <w:spacing w:before="60" w:after="60" w:line="360" w:lineRule="auto"/>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构建以医院服务总线为基础、以临床数据中心为核心的医院信息集成平台业务体系，消除医院的信息孤岛，解构原有的HIS体系，实现医院内部各信息系统之间的数据整合、提供一个统一的标准数据交换和工作流协同平台，提高医院精细化管理水平，为下一步实现跨区域奠定技术基础。</w:t>
      </w:r>
    </w:p>
    <w:p w14:paraId="68F5DDA6">
      <w:pPr>
        <w:adjustRightInd w:val="0"/>
        <w:spacing w:before="60" w:after="60" w:line="400" w:lineRule="exact"/>
        <w:ind w:firstLine="480" w:firstLineChars="200"/>
        <w:jc w:val="center"/>
        <w:textAlignment w:val="baseline"/>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0"/>
          <w:sz w:val="24"/>
          <w:szCs w:val="20"/>
          <w:highlight w:val="none"/>
        </w:rPr>
        <w:t>表3</w:t>
      </w:r>
      <w:r>
        <w:rPr>
          <w:rFonts w:hint="eastAsia" w:ascii="仿宋_GB2312" w:hAnsi="仿宋_GB2312" w:eastAsia="仿宋_GB2312" w:cs="仿宋_GB2312"/>
          <w:b w:val="0"/>
          <w:bCs w:val="0"/>
          <w:color w:val="auto"/>
          <w:kern w:val="0"/>
          <w:sz w:val="24"/>
          <w:szCs w:val="20"/>
          <w:highlight w:val="none"/>
          <w:lang w:val="en-US" w:eastAsia="zh-CN"/>
        </w:rPr>
        <w:t>系统情况</w:t>
      </w:r>
      <w:r>
        <w:rPr>
          <w:rFonts w:hint="eastAsia" w:ascii="仿宋_GB2312" w:hAnsi="仿宋_GB2312" w:eastAsia="仿宋_GB2312" w:cs="仿宋_GB2312"/>
          <w:b w:val="0"/>
          <w:bCs w:val="0"/>
          <w:color w:val="auto"/>
          <w:kern w:val="0"/>
          <w:sz w:val="24"/>
          <w:szCs w:val="20"/>
          <w:highlight w:val="none"/>
        </w:rPr>
        <w:t>表</w:t>
      </w:r>
    </w:p>
    <w:tbl>
      <w:tblPr>
        <w:tblStyle w:val="5"/>
        <w:tblW w:w="47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7"/>
        <w:gridCol w:w="6486"/>
      </w:tblGrid>
      <w:tr w14:paraId="5897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pct"/>
            <w:noWrap w:val="0"/>
            <w:vAlign w:val="top"/>
          </w:tcPr>
          <w:p w14:paraId="2FE734C7">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产权归属</w:t>
            </w:r>
          </w:p>
        </w:tc>
        <w:tc>
          <w:tcPr>
            <w:tcW w:w="3996" w:type="pct"/>
            <w:noWrap w:val="0"/>
            <w:vAlign w:val="top"/>
          </w:tcPr>
          <w:p w14:paraId="1765B17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增城区卫生健康局</w:t>
            </w:r>
          </w:p>
        </w:tc>
      </w:tr>
      <w:tr w14:paraId="76455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pct"/>
            <w:noWrap w:val="0"/>
            <w:vAlign w:val="top"/>
          </w:tcPr>
          <w:p w14:paraId="7501BD79">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覆盖层级</w:t>
            </w:r>
          </w:p>
        </w:tc>
        <w:tc>
          <w:tcPr>
            <w:tcW w:w="3996" w:type="pct"/>
            <w:noWrap w:val="0"/>
            <w:vAlign w:val="top"/>
          </w:tcPr>
          <w:p w14:paraId="253E2DE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省市区三级</w:t>
            </w:r>
          </w:p>
        </w:tc>
      </w:tr>
      <w:tr w14:paraId="2D024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pct"/>
            <w:noWrap w:val="0"/>
            <w:vAlign w:val="top"/>
          </w:tcPr>
          <w:p w14:paraId="0E42DA02">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建设方式</w:t>
            </w:r>
          </w:p>
        </w:tc>
        <w:tc>
          <w:tcPr>
            <w:tcW w:w="3996" w:type="pct"/>
            <w:noWrap w:val="0"/>
            <w:vAlign w:val="top"/>
          </w:tcPr>
          <w:p w14:paraId="42C1D7C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市区联合建设</w:t>
            </w:r>
          </w:p>
        </w:tc>
      </w:tr>
      <w:tr w14:paraId="7DB83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pct"/>
            <w:noWrap w:val="0"/>
            <w:vAlign w:val="top"/>
          </w:tcPr>
          <w:p w14:paraId="7EE9BAF5">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出资模式</w:t>
            </w:r>
          </w:p>
        </w:tc>
        <w:tc>
          <w:tcPr>
            <w:tcW w:w="3996" w:type="pct"/>
            <w:noWrap w:val="0"/>
            <w:vAlign w:val="top"/>
          </w:tcPr>
          <w:p w14:paraId="5DDFBC5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系统建设费用</w:t>
            </w:r>
          </w:p>
        </w:tc>
      </w:tr>
      <w:tr w14:paraId="09C8B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pct"/>
            <w:noWrap w:val="0"/>
            <w:vAlign w:val="center"/>
          </w:tcPr>
          <w:p w14:paraId="6ACFA8F5">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优化模式</w:t>
            </w:r>
          </w:p>
        </w:tc>
        <w:tc>
          <w:tcPr>
            <w:tcW w:w="3996" w:type="pct"/>
            <w:noWrap w:val="0"/>
            <w:vAlign w:val="top"/>
          </w:tcPr>
          <w:p w14:paraId="0A46768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建设部门统一收集使用部门需求，评估后按统一规范标准，自行优化升级。</w:t>
            </w:r>
          </w:p>
        </w:tc>
      </w:tr>
      <w:tr w14:paraId="49EAB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pct"/>
            <w:noWrap w:val="0"/>
            <w:vAlign w:val="top"/>
          </w:tcPr>
          <w:p w14:paraId="7771407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数据运行</w:t>
            </w:r>
          </w:p>
          <w:p w14:paraId="6600FE22">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模式</w:t>
            </w:r>
          </w:p>
        </w:tc>
        <w:tc>
          <w:tcPr>
            <w:tcW w:w="3996" w:type="pct"/>
            <w:noWrap w:val="0"/>
            <w:vAlign w:val="top"/>
          </w:tcPr>
          <w:p w14:paraId="0C161D0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数据共享、回流机制，包括但不限于共享、回流、回流数据为医保数据类型、实时回流</w:t>
            </w:r>
          </w:p>
        </w:tc>
      </w:tr>
      <w:tr w14:paraId="0D8CC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pct"/>
            <w:noWrap w:val="0"/>
            <w:vAlign w:val="center"/>
          </w:tcPr>
          <w:p w14:paraId="547F984B">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统筹方式</w:t>
            </w:r>
          </w:p>
        </w:tc>
        <w:tc>
          <w:tcPr>
            <w:tcW w:w="3996" w:type="pct"/>
            <w:noWrap w:val="0"/>
            <w:vAlign w:val="top"/>
          </w:tcPr>
          <w:p w14:paraId="5BA84A5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统一建设统一部署</w:t>
            </w:r>
          </w:p>
        </w:tc>
      </w:tr>
    </w:tbl>
    <w:p w14:paraId="22B2A006">
      <w:pPr>
        <w:adjustRightInd w:val="0"/>
        <w:spacing w:before="60" w:after="60" w:line="360" w:lineRule="auto"/>
        <w:textAlignment w:val="baseline"/>
        <w:rPr>
          <w:rFonts w:hint="eastAsia" w:ascii="Times New Roman" w:hAnsi="Times New Roman" w:eastAsia="宋体" w:cs="Times New Roman"/>
          <w:b w:val="0"/>
          <w:bCs w:val="0"/>
          <w:color w:val="auto"/>
          <w:kern w:val="0"/>
          <w:sz w:val="24"/>
          <w:szCs w:val="20"/>
          <w:highlight w:val="none"/>
          <w:lang w:val="en-US" w:eastAsia="zh-CN"/>
        </w:rPr>
      </w:pPr>
    </w:p>
    <w:p w14:paraId="146B64FB">
      <w:pPr>
        <w:keepNext/>
        <w:keepLines/>
        <w:widowControl w:val="0"/>
        <w:numPr>
          <w:ilvl w:val="3"/>
          <w:numId w:val="1"/>
        </w:numPr>
        <w:adjustRightInd w:val="0"/>
        <w:spacing w:before="0" w:after="0" w:line="400" w:lineRule="exact"/>
        <w:ind w:left="0" w:firstLine="0"/>
        <w:jc w:val="both"/>
        <w:textAlignment w:val="baseline"/>
        <w:outlineLvl w:val="3"/>
        <w:rPr>
          <w:rFonts w:ascii="黑体" w:hAnsi="黑体" w:eastAsia="黑体" w:cs="黑体"/>
          <w:b w:val="0"/>
          <w:bCs w:val="0"/>
          <w:color w:val="auto"/>
          <w:sz w:val="24"/>
          <w:szCs w:val="30"/>
          <w:highlight w:val="none"/>
          <w:lang w:val="en-US" w:eastAsia="zh-CN" w:bidi="ar-SA"/>
        </w:rPr>
      </w:pPr>
      <w:r>
        <w:rPr>
          <w:rFonts w:hint="eastAsia" w:ascii="黑体" w:hAnsi="黑体" w:eastAsia="黑体" w:cs="黑体"/>
          <w:b w:val="0"/>
          <w:bCs w:val="0"/>
          <w:color w:val="auto"/>
          <w:sz w:val="24"/>
          <w:szCs w:val="30"/>
          <w:highlight w:val="none"/>
          <w:lang w:val="en-US" w:eastAsia="zh-CN" w:bidi="ar-SA"/>
        </w:rPr>
        <w:t xml:space="preserve"> </w:t>
      </w:r>
      <w:bookmarkStart w:id="11" w:name="_Toc1673734465"/>
      <w:r>
        <w:rPr>
          <w:rFonts w:hint="eastAsia" w:ascii="黑体" w:hAnsi="黑体" w:eastAsia="黑体" w:cs="黑体"/>
          <w:b w:val="0"/>
          <w:bCs w:val="0"/>
          <w:color w:val="auto"/>
          <w:sz w:val="24"/>
          <w:szCs w:val="30"/>
          <w:highlight w:val="none"/>
          <w:lang w:val="en-US" w:eastAsia="zh-CN" w:bidi="ar-SA"/>
        </w:rPr>
        <w:t>网络架构图</w:t>
      </w:r>
      <w:bookmarkEnd w:id="11"/>
    </w:p>
    <w:p w14:paraId="1ACACAE0">
      <w:pPr>
        <w:widowControl w:val="0"/>
        <w:adjustRightInd w:val="0"/>
        <w:spacing w:before="100" w:beforeAutospacing="1" w:after="100" w:afterLines="0" w:afterAutospacing="1" w:line="300" w:lineRule="auto"/>
        <w:ind w:firstLine="480" w:firstLineChars="200"/>
        <w:jc w:val="both"/>
        <w:textAlignment w:val="baseline"/>
        <w:rPr>
          <w:rFonts w:ascii="Times New Roman" w:hAnsi="Times New Roman" w:eastAsia="宋体" w:cs="Times New Roman"/>
          <w:b w:val="0"/>
          <w:bCs w:val="0"/>
          <w:color w:val="auto"/>
          <w:sz w:val="24"/>
          <w:highlight w:val="none"/>
          <w:lang w:val="en-US" w:eastAsia="zh-CN" w:bidi="ar-SA"/>
        </w:rPr>
      </w:pPr>
      <w:r>
        <w:rPr>
          <w:rFonts w:ascii="Times New Roman" w:hAnsi="Times New Roman" w:eastAsia="宋体" w:cs="Times New Roman"/>
          <w:b w:val="0"/>
          <w:bCs w:val="0"/>
          <w:color w:val="auto"/>
          <w:sz w:val="24"/>
          <w:highlight w:val="none"/>
          <w:lang w:val="en-US" w:eastAsia="zh-CN" w:bidi="ar-SA"/>
        </w:rPr>
        <w:drawing>
          <wp:inline distT="0" distB="0" distL="114300" distR="114300">
            <wp:extent cx="4724400" cy="2924175"/>
            <wp:effectExtent l="0" t="0" r="0"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6"/>
                    <a:stretch>
                      <a:fillRect/>
                    </a:stretch>
                  </pic:blipFill>
                  <pic:spPr>
                    <a:xfrm>
                      <a:off x="0" y="0"/>
                      <a:ext cx="4724400" cy="2924175"/>
                    </a:xfrm>
                    <a:prstGeom prst="rect">
                      <a:avLst/>
                    </a:prstGeom>
                    <a:noFill/>
                    <a:ln>
                      <a:noFill/>
                    </a:ln>
                  </pic:spPr>
                </pic:pic>
              </a:graphicData>
            </a:graphic>
          </wp:inline>
        </w:drawing>
      </w:r>
    </w:p>
    <w:p w14:paraId="02F7D7E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center"/>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rPr>
        <w:t>图3</w:t>
      </w:r>
      <w:r>
        <w:rPr>
          <w:rFonts w:ascii="仿宋_GB2312" w:hAnsi="Times New Roman" w:eastAsia="仿宋_GB2312" w:cs="Times New Roman"/>
          <w:b w:val="0"/>
          <w:bCs w:val="0"/>
          <w:color w:val="auto"/>
          <w:kern w:val="0"/>
          <w:sz w:val="24"/>
          <w:szCs w:val="20"/>
          <w:highlight w:val="none"/>
        </w:rPr>
        <w:t>.</w:t>
      </w:r>
      <w:r>
        <w:rPr>
          <w:rFonts w:hint="eastAsia" w:ascii="仿宋_GB2312" w:hAnsi="Times New Roman" w:eastAsia="仿宋_GB2312" w:cs="Times New Roman"/>
          <w:b w:val="0"/>
          <w:bCs w:val="0"/>
          <w:color w:val="auto"/>
          <w:kern w:val="0"/>
          <w:sz w:val="24"/>
          <w:szCs w:val="20"/>
          <w:highlight w:val="none"/>
          <w:lang w:val="en-US" w:eastAsia="zh-CN"/>
        </w:rPr>
        <w:t>22网络架构图</w:t>
      </w:r>
    </w:p>
    <w:p w14:paraId="3B60CF8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本地现有资源服务未来可考虑用于重要业务的本地数据及应急备份需要，核心业务采用传统主流全网双活架构。依托医院数据中心机房和卫生业务专网，根据安全分区的需求，划分安全域，确定安全边界，制定边界安全策略。</w:t>
      </w:r>
    </w:p>
    <w:p w14:paraId="7F0EB5C9">
      <w:pPr>
        <w:keepNext/>
        <w:keepLines/>
        <w:widowControl w:val="0"/>
        <w:numPr>
          <w:ilvl w:val="3"/>
          <w:numId w:val="1"/>
        </w:numPr>
        <w:adjustRightInd w:val="0"/>
        <w:spacing w:before="0" w:after="0" w:line="400" w:lineRule="exact"/>
        <w:ind w:left="0" w:firstLine="0"/>
        <w:jc w:val="both"/>
        <w:textAlignment w:val="baseline"/>
        <w:outlineLvl w:val="3"/>
        <w:rPr>
          <w:rFonts w:ascii="黑体" w:hAnsi="黑体" w:eastAsia="黑体" w:cs="黑体"/>
          <w:b w:val="0"/>
          <w:bCs w:val="0"/>
          <w:color w:val="auto"/>
          <w:sz w:val="24"/>
          <w:szCs w:val="30"/>
          <w:highlight w:val="none"/>
          <w:lang w:val="en-US" w:eastAsia="zh-CN" w:bidi="ar-SA"/>
        </w:rPr>
      </w:pPr>
      <w:r>
        <w:rPr>
          <w:rFonts w:hint="eastAsia" w:ascii="黑体" w:hAnsi="黑体" w:eastAsia="黑体" w:cs="黑体"/>
          <w:b w:val="0"/>
          <w:bCs w:val="0"/>
          <w:color w:val="auto"/>
          <w:sz w:val="24"/>
          <w:szCs w:val="30"/>
          <w:highlight w:val="none"/>
          <w:lang w:val="en-US" w:eastAsia="zh-CN" w:bidi="ar-SA"/>
        </w:rPr>
        <w:t xml:space="preserve"> </w:t>
      </w:r>
      <w:bookmarkStart w:id="12" w:name="_Toc566861202"/>
      <w:r>
        <w:rPr>
          <w:rFonts w:hint="eastAsia" w:ascii="黑体" w:hAnsi="黑体" w:eastAsia="黑体" w:cs="黑体"/>
          <w:b w:val="0"/>
          <w:bCs w:val="0"/>
          <w:color w:val="auto"/>
          <w:sz w:val="24"/>
          <w:szCs w:val="30"/>
          <w:highlight w:val="none"/>
          <w:lang w:val="en-US" w:eastAsia="zh-CN" w:bidi="ar-SA"/>
        </w:rPr>
        <w:t>技术路线</w:t>
      </w:r>
      <w:bookmarkEnd w:id="12"/>
    </w:p>
    <w:p w14:paraId="09CA47D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本项目采用信创产品及技术路线，遵循易用性、兼容性、可移植性、可扩展性等原则，结合实际建设需求，基于所采用的信创技术路线开展适配试验工作，充分考虑所建设系统在对应芯片、操作系统、数据库、中间件等组合环境下的适配程度。</w:t>
      </w:r>
    </w:p>
    <w:p w14:paraId="2E36B70B">
      <w:pPr>
        <w:widowControl w:val="0"/>
        <w:adjustRightInd/>
        <w:spacing w:before="0" w:after="0" w:line="400" w:lineRule="exact"/>
        <w:ind w:firstLine="0" w:firstLineChars="0"/>
        <w:jc w:val="center"/>
        <w:textAlignment w:val="auto"/>
        <w:rPr>
          <w:rFonts w:hint="eastAsia" w:ascii="仿宋_GB2312" w:hAnsi="仿宋_GB2312" w:eastAsia="仿宋_GB2312" w:cs="仿宋_GB2312"/>
          <w:b w:val="0"/>
          <w:bCs w:val="0"/>
          <w:color w:val="auto"/>
          <w:sz w:val="24"/>
          <w:highlight w:val="none"/>
          <w:lang w:val="en-US" w:eastAsia="en-US" w:bidi="ar-SA"/>
        </w:rPr>
      </w:pPr>
      <w:r>
        <w:rPr>
          <w:rFonts w:hint="eastAsia" w:ascii="仿宋_GB2312" w:hAnsi="仿宋_GB2312" w:eastAsia="仿宋_GB2312" w:cs="仿宋_GB2312"/>
          <w:b w:val="0"/>
          <w:bCs w:val="0"/>
          <w:color w:val="auto"/>
          <w:sz w:val="21"/>
          <w:highlight w:val="none"/>
          <w:lang w:val="en-US" w:eastAsia="en-US" w:bidi="ar-SA"/>
        </w:rPr>
        <w:t>表</w:t>
      </w:r>
      <w:r>
        <w:rPr>
          <w:rFonts w:hint="eastAsia" w:ascii="仿宋_GB2312" w:hAnsi="仿宋_GB2312" w:eastAsia="仿宋_GB2312" w:cs="仿宋_GB2312"/>
          <w:b w:val="0"/>
          <w:bCs w:val="0"/>
          <w:color w:val="auto"/>
          <w:sz w:val="21"/>
          <w:highlight w:val="none"/>
          <w:lang w:val="en-US" w:eastAsia="zh-CN" w:bidi="ar-SA"/>
        </w:rPr>
        <w:t xml:space="preserve">4 </w:t>
      </w:r>
      <w:r>
        <w:rPr>
          <w:rFonts w:hint="eastAsia" w:ascii="仿宋_GB2312" w:hAnsi="仿宋_GB2312" w:eastAsia="仿宋_GB2312" w:cs="仿宋_GB2312"/>
          <w:b w:val="0"/>
          <w:bCs w:val="0"/>
          <w:color w:val="auto"/>
          <w:sz w:val="24"/>
          <w:highlight w:val="none"/>
          <w:lang w:val="en-US" w:eastAsia="en-US" w:bidi="ar-SA"/>
        </w:rPr>
        <w:t>系统信创技术路线情况表</w:t>
      </w:r>
    </w:p>
    <w:tbl>
      <w:tblPr>
        <w:tblStyle w:val="4"/>
        <w:tblW w:w="5222" w:type="pct"/>
        <w:tblInd w:w="113" w:type="dxa"/>
        <w:tblLayout w:type="fixed"/>
        <w:tblCellMar>
          <w:top w:w="15" w:type="dxa"/>
          <w:left w:w="15" w:type="dxa"/>
          <w:bottom w:w="15" w:type="dxa"/>
          <w:right w:w="15" w:type="dxa"/>
        </w:tblCellMar>
      </w:tblPr>
      <w:tblGrid>
        <w:gridCol w:w="409"/>
        <w:gridCol w:w="1069"/>
        <w:gridCol w:w="2255"/>
        <w:gridCol w:w="1206"/>
        <w:gridCol w:w="1867"/>
        <w:gridCol w:w="1236"/>
        <w:gridCol w:w="853"/>
      </w:tblGrid>
      <w:tr w14:paraId="60A9CBCD">
        <w:tblPrEx>
          <w:tblCellMar>
            <w:top w:w="15" w:type="dxa"/>
            <w:left w:w="15" w:type="dxa"/>
            <w:bottom w:w="15" w:type="dxa"/>
            <w:right w:w="15" w:type="dxa"/>
          </w:tblCellMar>
        </w:tblPrEx>
        <w:trPr>
          <w:trHeight w:val="90" w:hRule="atLeast"/>
        </w:trPr>
        <w:tc>
          <w:tcPr>
            <w:tcW w:w="830" w:type="pct"/>
            <w:gridSpan w:val="2"/>
            <w:tcBorders>
              <w:top w:val="single" w:color="000000" w:sz="6" w:space="0"/>
              <w:left w:val="single" w:color="000000" w:sz="6" w:space="0"/>
              <w:bottom w:val="single" w:color="000000" w:sz="6" w:space="0"/>
              <w:right w:val="single" w:color="000000" w:sz="6" w:space="0"/>
            </w:tcBorders>
            <w:noWrap w:val="0"/>
            <w:tcMar>
              <w:top w:w="0" w:type="dxa"/>
              <w:left w:w="105" w:type="dxa"/>
              <w:bottom w:w="0" w:type="dxa"/>
              <w:right w:w="105" w:type="dxa"/>
            </w:tcMar>
            <w:vAlign w:val="center"/>
          </w:tcPr>
          <w:p w14:paraId="5748726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项目名称</w:t>
            </w:r>
          </w:p>
        </w:tc>
        <w:tc>
          <w:tcPr>
            <w:tcW w:w="4169" w:type="pct"/>
            <w:gridSpan w:val="5"/>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3E839BB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广州市增城区中医医院2025年医保业务系统接口改造建设项目</w:t>
            </w:r>
          </w:p>
        </w:tc>
      </w:tr>
      <w:tr w14:paraId="457C1BC0">
        <w:tblPrEx>
          <w:tblCellMar>
            <w:top w:w="15" w:type="dxa"/>
            <w:left w:w="15" w:type="dxa"/>
            <w:bottom w:w="15" w:type="dxa"/>
            <w:right w:w="15" w:type="dxa"/>
          </w:tblCellMar>
        </w:tblPrEx>
        <w:trPr>
          <w:trHeight w:val="361" w:hRule="atLeast"/>
        </w:trPr>
        <w:tc>
          <w:tcPr>
            <w:tcW w:w="830" w:type="pct"/>
            <w:gridSpan w:val="2"/>
            <w:tcBorders>
              <w:top w:val="single" w:color="000000" w:sz="6" w:space="0"/>
              <w:left w:val="single" w:color="000000" w:sz="6" w:space="0"/>
              <w:bottom w:val="single" w:color="000000" w:sz="6" w:space="0"/>
              <w:right w:val="single" w:color="000000" w:sz="6" w:space="0"/>
            </w:tcBorders>
            <w:noWrap w:val="0"/>
            <w:tcMar>
              <w:top w:w="0" w:type="dxa"/>
              <w:left w:w="105" w:type="dxa"/>
              <w:bottom w:w="0" w:type="dxa"/>
              <w:right w:w="105" w:type="dxa"/>
            </w:tcMar>
            <w:vAlign w:val="center"/>
          </w:tcPr>
          <w:p w14:paraId="7CE57A8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系统名称</w:t>
            </w:r>
          </w:p>
        </w:tc>
        <w:tc>
          <w:tcPr>
            <w:tcW w:w="4169" w:type="pct"/>
            <w:gridSpan w:val="5"/>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674EC96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医保业务系统接口改造系统</w:t>
            </w:r>
          </w:p>
        </w:tc>
      </w:tr>
      <w:tr w14:paraId="6FE0EA66">
        <w:tblPrEx>
          <w:tblCellMar>
            <w:top w:w="15" w:type="dxa"/>
            <w:left w:w="15" w:type="dxa"/>
            <w:bottom w:w="15" w:type="dxa"/>
            <w:right w:w="15" w:type="dxa"/>
          </w:tblCellMar>
        </w:tblPrEx>
        <w:trPr>
          <w:trHeight w:val="337" w:hRule="atLeast"/>
        </w:trPr>
        <w:tc>
          <w:tcPr>
            <w:tcW w:w="830" w:type="pct"/>
            <w:gridSpan w:val="2"/>
            <w:tcBorders>
              <w:top w:val="single" w:color="000000" w:sz="6" w:space="0"/>
              <w:left w:val="single" w:color="000000" w:sz="6" w:space="0"/>
              <w:bottom w:val="single" w:color="000000" w:sz="6" w:space="0"/>
              <w:right w:val="single" w:color="000000" w:sz="6" w:space="0"/>
            </w:tcBorders>
            <w:noWrap w:val="0"/>
            <w:tcMar>
              <w:top w:w="0" w:type="dxa"/>
              <w:left w:w="105" w:type="dxa"/>
              <w:bottom w:w="0" w:type="dxa"/>
              <w:right w:w="105" w:type="dxa"/>
            </w:tcMar>
            <w:vAlign w:val="center"/>
          </w:tcPr>
          <w:p w14:paraId="042DE39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系统属性</w:t>
            </w:r>
          </w:p>
        </w:tc>
        <w:tc>
          <w:tcPr>
            <w:tcW w:w="4169" w:type="pct"/>
            <w:gridSpan w:val="5"/>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7B68D0E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新建</w:t>
            </w:r>
          </w:p>
        </w:tc>
      </w:tr>
      <w:tr w14:paraId="5349A308">
        <w:tblPrEx>
          <w:tblCellMar>
            <w:top w:w="15" w:type="dxa"/>
            <w:left w:w="15" w:type="dxa"/>
            <w:bottom w:w="15" w:type="dxa"/>
            <w:right w:w="15" w:type="dxa"/>
          </w:tblCellMar>
        </w:tblPrEx>
        <w:trPr>
          <w:trHeight w:val="924" w:hRule="atLeast"/>
        </w:trPr>
        <w:tc>
          <w:tcPr>
            <w:tcW w:w="229" w:type="pct"/>
            <w:tcBorders>
              <w:top w:val="nil"/>
              <w:left w:val="single" w:color="000000" w:sz="6" w:space="0"/>
              <w:bottom w:val="single" w:color="000000" w:sz="6" w:space="0"/>
              <w:right w:val="single" w:color="000000" w:sz="6" w:space="0"/>
            </w:tcBorders>
            <w:noWrap w:val="0"/>
            <w:tcMar>
              <w:top w:w="0" w:type="dxa"/>
              <w:left w:w="105" w:type="dxa"/>
              <w:bottom w:w="0" w:type="dxa"/>
              <w:right w:w="105" w:type="dxa"/>
            </w:tcMar>
            <w:vAlign w:val="center"/>
          </w:tcPr>
          <w:p w14:paraId="5818012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序号</w:t>
            </w:r>
          </w:p>
        </w:tc>
        <w:tc>
          <w:tcPr>
            <w:tcW w:w="600"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C86F66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技术要素内容</w:t>
            </w: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774B60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要素内容</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25CE8E0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原技术路线</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0708FFA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(改造)拟采用技术路线</w:t>
            </w:r>
          </w:p>
        </w:tc>
        <w:tc>
          <w:tcPr>
            <w:tcW w:w="694"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72B8935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是否符合信创要求自评</w:t>
            </w: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068F7AB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备注</w:t>
            </w:r>
          </w:p>
        </w:tc>
      </w:tr>
      <w:tr w14:paraId="22DBDAC8">
        <w:tblPrEx>
          <w:tblCellMar>
            <w:top w:w="15" w:type="dxa"/>
            <w:left w:w="15" w:type="dxa"/>
            <w:bottom w:w="15" w:type="dxa"/>
            <w:right w:w="15" w:type="dxa"/>
          </w:tblCellMar>
        </w:tblPrEx>
        <w:trPr>
          <w:trHeight w:val="302" w:hRule="atLeast"/>
        </w:trPr>
        <w:tc>
          <w:tcPr>
            <w:tcW w:w="229" w:type="pct"/>
            <w:vMerge w:val="restart"/>
            <w:tcBorders>
              <w:top w:val="nil"/>
              <w:left w:val="single" w:color="000000" w:sz="6" w:space="0"/>
              <w:bottom w:val="single" w:color="000000" w:sz="6" w:space="0"/>
              <w:right w:val="single" w:color="000000" w:sz="6" w:space="0"/>
            </w:tcBorders>
            <w:noWrap w:val="0"/>
            <w:tcMar>
              <w:top w:w="0" w:type="dxa"/>
              <w:left w:w="105" w:type="dxa"/>
              <w:bottom w:w="0" w:type="dxa"/>
              <w:right w:w="105" w:type="dxa"/>
            </w:tcMar>
            <w:vAlign w:val="center"/>
          </w:tcPr>
          <w:p w14:paraId="188CF84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w:t>
            </w:r>
          </w:p>
        </w:tc>
        <w:tc>
          <w:tcPr>
            <w:tcW w:w="600" w:type="pct"/>
            <w:vMerge w:val="restar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521D3FB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芯片</w:t>
            </w: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17B47D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信创芯片</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7AF5DD1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6938F58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ARM架构</w:t>
            </w:r>
          </w:p>
        </w:tc>
        <w:tc>
          <w:tcPr>
            <w:tcW w:w="694" w:type="pct"/>
            <w:vMerge w:val="restar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4403422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是</w:t>
            </w: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71D93CD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r>
      <w:tr w14:paraId="0E0D71CD">
        <w:tblPrEx>
          <w:tblCellMar>
            <w:top w:w="15" w:type="dxa"/>
            <w:left w:w="15" w:type="dxa"/>
            <w:bottom w:w="15" w:type="dxa"/>
            <w:right w:w="15" w:type="dxa"/>
          </w:tblCellMar>
        </w:tblPrEx>
        <w:trPr>
          <w:trHeight w:val="450" w:hRule="atLeast"/>
        </w:trPr>
        <w:tc>
          <w:tcPr>
            <w:tcW w:w="229" w:type="pct"/>
            <w:vMerge w:val="continue"/>
            <w:tcBorders>
              <w:top w:val="nil"/>
              <w:left w:val="single" w:color="000000" w:sz="6" w:space="0"/>
              <w:bottom w:val="single" w:color="000000" w:sz="6" w:space="0"/>
              <w:right w:val="single" w:color="000000" w:sz="6" w:space="0"/>
            </w:tcBorders>
            <w:noWrap w:val="0"/>
            <w:vAlign w:val="center"/>
          </w:tcPr>
          <w:p w14:paraId="3255CB5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600" w:type="pct"/>
            <w:vMerge w:val="continue"/>
            <w:tcBorders>
              <w:top w:val="nil"/>
              <w:left w:val="nil"/>
              <w:bottom w:val="single" w:color="000000" w:sz="6" w:space="0"/>
              <w:right w:val="single" w:color="000000" w:sz="6" w:space="0"/>
            </w:tcBorders>
            <w:noWrap w:val="0"/>
            <w:vAlign w:val="center"/>
          </w:tcPr>
          <w:p w14:paraId="690F366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293930C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非信创芯片</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6214A1F3">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X86架构</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E13F1BE">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694" w:type="pct"/>
            <w:vMerge w:val="continue"/>
            <w:tcBorders>
              <w:top w:val="nil"/>
              <w:left w:val="nil"/>
              <w:bottom w:val="single" w:color="000000" w:sz="6" w:space="0"/>
              <w:right w:val="single" w:color="000000" w:sz="6" w:space="0"/>
            </w:tcBorders>
            <w:noWrap w:val="0"/>
            <w:vAlign w:val="center"/>
          </w:tcPr>
          <w:p w14:paraId="10244B9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777DD7F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w:t>
            </w:r>
          </w:p>
        </w:tc>
      </w:tr>
      <w:tr w14:paraId="53C3275E">
        <w:tblPrEx>
          <w:tblCellMar>
            <w:top w:w="15" w:type="dxa"/>
            <w:left w:w="15" w:type="dxa"/>
            <w:bottom w:w="15" w:type="dxa"/>
            <w:right w:w="15" w:type="dxa"/>
          </w:tblCellMar>
        </w:tblPrEx>
        <w:trPr>
          <w:trHeight w:val="381" w:hRule="atLeast"/>
        </w:trPr>
        <w:tc>
          <w:tcPr>
            <w:tcW w:w="229" w:type="pct"/>
            <w:vMerge w:val="restart"/>
            <w:tcBorders>
              <w:top w:val="nil"/>
              <w:left w:val="single" w:color="000000" w:sz="6" w:space="0"/>
              <w:bottom w:val="single" w:color="000000" w:sz="6" w:space="0"/>
              <w:right w:val="single" w:color="000000" w:sz="6" w:space="0"/>
            </w:tcBorders>
            <w:noWrap w:val="0"/>
            <w:tcMar>
              <w:top w:w="0" w:type="dxa"/>
              <w:left w:w="105" w:type="dxa"/>
              <w:bottom w:w="0" w:type="dxa"/>
              <w:right w:w="105" w:type="dxa"/>
            </w:tcMar>
            <w:vAlign w:val="center"/>
          </w:tcPr>
          <w:p w14:paraId="4EA3D25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w:t>
            </w:r>
          </w:p>
        </w:tc>
        <w:tc>
          <w:tcPr>
            <w:tcW w:w="600" w:type="pct"/>
            <w:vMerge w:val="restar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683BC0E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操作系统</w:t>
            </w: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4EBD96D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信创操作系统</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69D679F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16FBA8E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麒麟、统信</w:t>
            </w:r>
          </w:p>
        </w:tc>
        <w:tc>
          <w:tcPr>
            <w:tcW w:w="694" w:type="pct"/>
            <w:vMerge w:val="restar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41BF509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是</w:t>
            </w: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2476FFA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w:t>
            </w:r>
          </w:p>
        </w:tc>
      </w:tr>
      <w:tr w14:paraId="3EFF6F5F">
        <w:tblPrEx>
          <w:tblCellMar>
            <w:top w:w="15" w:type="dxa"/>
            <w:left w:w="15" w:type="dxa"/>
            <w:bottom w:w="15" w:type="dxa"/>
            <w:right w:w="15" w:type="dxa"/>
          </w:tblCellMar>
        </w:tblPrEx>
        <w:trPr>
          <w:trHeight w:val="447" w:hRule="atLeast"/>
        </w:trPr>
        <w:tc>
          <w:tcPr>
            <w:tcW w:w="229" w:type="pct"/>
            <w:vMerge w:val="continue"/>
            <w:tcBorders>
              <w:top w:val="nil"/>
              <w:left w:val="single" w:color="000000" w:sz="6" w:space="0"/>
              <w:bottom w:val="single" w:color="000000" w:sz="6" w:space="0"/>
              <w:right w:val="single" w:color="000000" w:sz="6" w:space="0"/>
            </w:tcBorders>
            <w:noWrap w:val="0"/>
            <w:vAlign w:val="center"/>
          </w:tcPr>
          <w:p w14:paraId="532DEB4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600" w:type="pct"/>
            <w:vMerge w:val="continue"/>
            <w:tcBorders>
              <w:top w:val="nil"/>
              <w:left w:val="nil"/>
              <w:bottom w:val="single" w:color="000000" w:sz="6" w:space="0"/>
              <w:right w:val="single" w:color="000000" w:sz="6" w:space="0"/>
            </w:tcBorders>
            <w:noWrap w:val="0"/>
            <w:vAlign w:val="center"/>
          </w:tcPr>
          <w:p w14:paraId="3BAA950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754300A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非信创操作系统</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1C1553EA">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Linux</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008CF605">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694" w:type="pct"/>
            <w:vMerge w:val="continue"/>
            <w:tcBorders>
              <w:top w:val="nil"/>
              <w:left w:val="nil"/>
              <w:bottom w:val="single" w:color="000000" w:sz="6" w:space="0"/>
              <w:right w:val="single" w:color="000000" w:sz="6" w:space="0"/>
            </w:tcBorders>
            <w:noWrap w:val="0"/>
            <w:vAlign w:val="center"/>
          </w:tcPr>
          <w:p w14:paraId="569FC31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72B6AB0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w:t>
            </w:r>
          </w:p>
        </w:tc>
      </w:tr>
      <w:tr w14:paraId="6A807D83">
        <w:tblPrEx>
          <w:tblCellMar>
            <w:top w:w="15" w:type="dxa"/>
            <w:left w:w="15" w:type="dxa"/>
            <w:bottom w:w="15" w:type="dxa"/>
            <w:right w:w="15" w:type="dxa"/>
          </w:tblCellMar>
        </w:tblPrEx>
        <w:trPr>
          <w:trHeight w:val="417" w:hRule="atLeast"/>
        </w:trPr>
        <w:tc>
          <w:tcPr>
            <w:tcW w:w="229" w:type="pct"/>
            <w:vMerge w:val="restart"/>
            <w:tcBorders>
              <w:top w:val="nil"/>
              <w:left w:val="single" w:color="000000" w:sz="6" w:space="0"/>
              <w:bottom w:val="single" w:color="000000" w:sz="6" w:space="0"/>
              <w:right w:val="single" w:color="000000" w:sz="6" w:space="0"/>
            </w:tcBorders>
            <w:noWrap w:val="0"/>
            <w:tcMar>
              <w:top w:w="0" w:type="dxa"/>
              <w:left w:w="105" w:type="dxa"/>
              <w:bottom w:w="0" w:type="dxa"/>
              <w:right w:w="105" w:type="dxa"/>
            </w:tcMar>
            <w:vAlign w:val="center"/>
          </w:tcPr>
          <w:p w14:paraId="40A9EDE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w:t>
            </w:r>
          </w:p>
        </w:tc>
        <w:tc>
          <w:tcPr>
            <w:tcW w:w="600" w:type="pct"/>
            <w:vMerge w:val="restar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4BB83A6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关系型数据库</w:t>
            </w: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75C2596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信创数据库</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4ECC3C4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0E3C35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人大金仓、达梦</w:t>
            </w:r>
          </w:p>
        </w:tc>
        <w:tc>
          <w:tcPr>
            <w:tcW w:w="694" w:type="pct"/>
            <w:vMerge w:val="restar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57BA319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是</w:t>
            </w: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7799D34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w:t>
            </w:r>
          </w:p>
        </w:tc>
      </w:tr>
      <w:tr w14:paraId="56F2EFA4">
        <w:tblPrEx>
          <w:tblCellMar>
            <w:top w:w="15" w:type="dxa"/>
            <w:left w:w="15" w:type="dxa"/>
            <w:bottom w:w="15" w:type="dxa"/>
            <w:right w:w="15" w:type="dxa"/>
          </w:tblCellMar>
        </w:tblPrEx>
        <w:trPr>
          <w:trHeight w:val="447" w:hRule="atLeast"/>
        </w:trPr>
        <w:tc>
          <w:tcPr>
            <w:tcW w:w="229" w:type="pct"/>
            <w:vMerge w:val="continue"/>
            <w:tcBorders>
              <w:top w:val="nil"/>
              <w:left w:val="single" w:color="000000" w:sz="6" w:space="0"/>
              <w:bottom w:val="single" w:color="000000" w:sz="6" w:space="0"/>
              <w:right w:val="single" w:color="000000" w:sz="6" w:space="0"/>
            </w:tcBorders>
            <w:noWrap w:val="0"/>
            <w:vAlign w:val="center"/>
          </w:tcPr>
          <w:p w14:paraId="754E15B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600" w:type="pct"/>
            <w:vMerge w:val="continue"/>
            <w:tcBorders>
              <w:top w:val="nil"/>
              <w:left w:val="nil"/>
              <w:bottom w:val="single" w:color="000000" w:sz="6" w:space="0"/>
              <w:right w:val="single" w:color="000000" w:sz="6" w:space="0"/>
            </w:tcBorders>
            <w:noWrap w:val="0"/>
            <w:vAlign w:val="center"/>
          </w:tcPr>
          <w:p w14:paraId="2F59F29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536862B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非信创数据库</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22642A47">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IRIS</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241A2ACB">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694" w:type="pct"/>
            <w:vMerge w:val="continue"/>
            <w:tcBorders>
              <w:top w:val="nil"/>
              <w:left w:val="nil"/>
              <w:bottom w:val="single" w:color="000000" w:sz="6" w:space="0"/>
              <w:right w:val="single" w:color="000000" w:sz="6" w:space="0"/>
            </w:tcBorders>
            <w:noWrap w:val="0"/>
            <w:vAlign w:val="center"/>
          </w:tcPr>
          <w:p w14:paraId="7AF2933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409BEE7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w:t>
            </w:r>
          </w:p>
        </w:tc>
      </w:tr>
      <w:tr w14:paraId="1E604C84">
        <w:tblPrEx>
          <w:tblCellMar>
            <w:top w:w="15" w:type="dxa"/>
            <w:left w:w="15" w:type="dxa"/>
            <w:bottom w:w="15" w:type="dxa"/>
            <w:right w:w="15" w:type="dxa"/>
          </w:tblCellMar>
        </w:tblPrEx>
        <w:trPr>
          <w:trHeight w:val="417" w:hRule="atLeast"/>
        </w:trPr>
        <w:tc>
          <w:tcPr>
            <w:tcW w:w="229" w:type="pct"/>
            <w:vMerge w:val="restart"/>
            <w:tcBorders>
              <w:top w:val="nil"/>
              <w:left w:val="single" w:color="000000" w:sz="6" w:space="0"/>
              <w:bottom w:val="single" w:color="000000" w:sz="6" w:space="0"/>
              <w:right w:val="single" w:color="000000" w:sz="6" w:space="0"/>
            </w:tcBorders>
            <w:noWrap w:val="0"/>
            <w:tcMar>
              <w:top w:w="0" w:type="dxa"/>
              <w:left w:w="105" w:type="dxa"/>
              <w:bottom w:w="0" w:type="dxa"/>
              <w:right w:w="105" w:type="dxa"/>
            </w:tcMar>
            <w:vAlign w:val="center"/>
          </w:tcPr>
          <w:p w14:paraId="72C526E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4</w:t>
            </w:r>
          </w:p>
        </w:tc>
        <w:tc>
          <w:tcPr>
            <w:tcW w:w="600" w:type="pct"/>
            <w:vMerge w:val="restar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675AE0E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中间件</w:t>
            </w: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656FF32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信创中间件</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E2938B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66B82BF3">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694" w:type="pct"/>
            <w:vMerge w:val="restar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18E859D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163AD64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w:t>
            </w:r>
          </w:p>
        </w:tc>
      </w:tr>
      <w:tr w14:paraId="6B0E7948">
        <w:tblPrEx>
          <w:tblCellMar>
            <w:top w:w="15" w:type="dxa"/>
            <w:left w:w="15" w:type="dxa"/>
            <w:bottom w:w="15" w:type="dxa"/>
            <w:right w:w="15" w:type="dxa"/>
          </w:tblCellMar>
        </w:tblPrEx>
        <w:trPr>
          <w:trHeight w:val="450" w:hRule="atLeast"/>
        </w:trPr>
        <w:tc>
          <w:tcPr>
            <w:tcW w:w="229" w:type="pct"/>
            <w:vMerge w:val="continue"/>
            <w:tcBorders>
              <w:top w:val="nil"/>
              <w:left w:val="single" w:color="000000" w:sz="6" w:space="0"/>
              <w:bottom w:val="single" w:color="000000" w:sz="6" w:space="0"/>
              <w:right w:val="single" w:color="000000" w:sz="6" w:space="0"/>
            </w:tcBorders>
            <w:noWrap w:val="0"/>
            <w:vAlign w:val="center"/>
          </w:tcPr>
          <w:p w14:paraId="4648369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600" w:type="pct"/>
            <w:vMerge w:val="continue"/>
            <w:tcBorders>
              <w:top w:val="nil"/>
              <w:left w:val="nil"/>
              <w:bottom w:val="single" w:color="000000" w:sz="6" w:space="0"/>
              <w:right w:val="single" w:color="000000" w:sz="6" w:space="0"/>
            </w:tcBorders>
            <w:noWrap w:val="0"/>
            <w:vAlign w:val="center"/>
          </w:tcPr>
          <w:p w14:paraId="2944CEC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447A211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非信创中间件</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5308A87">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01A9B05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694" w:type="pct"/>
            <w:vMerge w:val="continue"/>
            <w:tcBorders>
              <w:top w:val="nil"/>
              <w:left w:val="nil"/>
              <w:bottom w:val="single" w:color="000000" w:sz="6" w:space="0"/>
              <w:right w:val="single" w:color="000000" w:sz="6" w:space="0"/>
            </w:tcBorders>
            <w:noWrap w:val="0"/>
            <w:vAlign w:val="center"/>
          </w:tcPr>
          <w:p w14:paraId="4FC42C7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01AF7E9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w:t>
            </w:r>
          </w:p>
        </w:tc>
      </w:tr>
      <w:tr w14:paraId="204446C6">
        <w:tblPrEx>
          <w:tblCellMar>
            <w:top w:w="15" w:type="dxa"/>
            <w:left w:w="15" w:type="dxa"/>
            <w:bottom w:w="15" w:type="dxa"/>
            <w:right w:w="15" w:type="dxa"/>
          </w:tblCellMar>
        </w:tblPrEx>
        <w:trPr>
          <w:trHeight w:val="609" w:hRule="atLeast"/>
        </w:trPr>
        <w:tc>
          <w:tcPr>
            <w:tcW w:w="229" w:type="pct"/>
            <w:vMerge w:val="restart"/>
            <w:tcBorders>
              <w:top w:val="nil"/>
              <w:left w:val="single" w:color="000000" w:sz="6" w:space="0"/>
              <w:bottom w:val="single" w:color="000000" w:sz="6" w:space="0"/>
              <w:right w:val="single" w:color="000000" w:sz="6" w:space="0"/>
            </w:tcBorders>
            <w:noWrap w:val="0"/>
            <w:tcMar>
              <w:top w:w="0" w:type="dxa"/>
              <w:left w:w="105" w:type="dxa"/>
              <w:bottom w:w="0" w:type="dxa"/>
              <w:right w:w="105" w:type="dxa"/>
            </w:tcMar>
            <w:vAlign w:val="center"/>
          </w:tcPr>
          <w:p w14:paraId="3B78105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w:t>
            </w:r>
          </w:p>
        </w:tc>
        <w:tc>
          <w:tcPr>
            <w:tcW w:w="600" w:type="pct"/>
            <w:vMerge w:val="restar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0BFCFE9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云</w:t>
            </w: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639F36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市政务云非信创环境</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7A1A8F6D">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33D2197">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694" w:type="pct"/>
            <w:vMerge w:val="restar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08E93E0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58BD186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w:t>
            </w:r>
          </w:p>
        </w:tc>
      </w:tr>
      <w:tr w14:paraId="6FBF72D6">
        <w:tblPrEx>
          <w:tblCellMar>
            <w:top w:w="15" w:type="dxa"/>
            <w:left w:w="15" w:type="dxa"/>
            <w:bottom w:w="15" w:type="dxa"/>
            <w:right w:w="15" w:type="dxa"/>
          </w:tblCellMar>
        </w:tblPrEx>
        <w:trPr>
          <w:trHeight w:val="435" w:hRule="atLeast"/>
        </w:trPr>
        <w:tc>
          <w:tcPr>
            <w:tcW w:w="229" w:type="pct"/>
            <w:vMerge w:val="continue"/>
            <w:tcBorders>
              <w:top w:val="nil"/>
              <w:left w:val="single" w:color="000000" w:sz="6" w:space="0"/>
              <w:bottom w:val="single" w:color="000000" w:sz="6" w:space="0"/>
              <w:right w:val="single" w:color="000000" w:sz="6" w:space="0"/>
            </w:tcBorders>
            <w:noWrap w:val="0"/>
            <w:vAlign w:val="center"/>
          </w:tcPr>
          <w:p w14:paraId="5353E39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600" w:type="pct"/>
            <w:vMerge w:val="continue"/>
            <w:tcBorders>
              <w:top w:val="nil"/>
              <w:left w:val="nil"/>
              <w:bottom w:val="single" w:color="000000" w:sz="6" w:space="0"/>
              <w:right w:val="single" w:color="000000" w:sz="6" w:space="0"/>
            </w:tcBorders>
            <w:noWrap w:val="0"/>
            <w:vAlign w:val="center"/>
          </w:tcPr>
          <w:p w14:paraId="4936966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6A73763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市政务云信创环境</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7247BE6">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F4A4B38">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694" w:type="pct"/>
            <w:vMerge w:val="continue"/>
            <w:tcBorders>
              <w:top w:val="nil"/>
              <w:left w:val="nil"/>
              <w:bottom w:val="single" w:color="000000" w:sz="6" w:space="0"/>
              <w:right w:val="single" w:color="000000" w:sz="6" w:space="0"/>
            </w:tcBorders>
            <w:noWrap w:val="0"/>
            <w:vAlign w:val="center"/>
          </w:tcPr>
          <w:p w14:paraId="7A1F285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09502CB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w:t>
            </w:r>
          </w:p>
        </w:tc>
      </w:tr>
      <w:tr w14:paraId="6824578E">
        <w:tblPrEx>
          <w:tblCellMar>
            <w:top w:w="15" w:type="dxa"/>
            <w:left w:w="15" w:type="dxa"/>
            <w:bottom w:w="15" w:type="dxa"/>
            <w:right w:w="15" w:type="dxa"/>
          </w:tblCellMar>
        </w:tblPrEx>
        <w:trPr>
          <w:trHeight w:val="693" w:hRule="atLeast"/>
        </w:trPr>
        <w:tc>
          <w:tcPr>
            <w:tcW w:w="229" w:type="pct"/>
            <w:vMerge w:val="continue"/>
            <w:tcBorders>
              <w:top w:val="nil"/>
              <w:left w:val="single" w:color="000000" w:sz="6" w:space="0"/>
              <w:bottom w:val="single" w:color="000000" w:sz="6" w:space="0"/>
              <w:right w:val="single" w:color="000000" w:sz="6" w:space="0"/>
            </w:tcBorders>
            <w:noWrap w:val="0"/>
            <w:vAlign w:val="center"/>
          </w:tcPr>
          <w:p w14:paraId="5B35998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600" w:type="pct"/>
            <w:vMerge w:val="continue"/>
            <w:tcBorders>
              <w:top w:val="nil"/>
              <w:left w:val="nil"/>
              <w:bottom w:val="single" w:color="000000" w:sz="6" w:space="0"/>
              <w:right w:val="single" w:color="000000" w:sz="6" w:space="0"/>
            </w:tcBorders>
            <w:noWrap w:val="0"/>
            <w:vAlign w:val="center"/>
          </w:tcPr>
          <w:p w14:paraId="4559C4E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03DE2B1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其他云（说明部署环境）</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504A8778">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FB51392">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694" w:type="pct"/>
            <w:vMerge w:val="continue"/>
            <w:tcBorders>
              <w:top w:val="nil"/>
              <w:left w:val="nil"/>
              <w:bottom w:val="single" w:color="000000" w:sz="6" w:space="0"/>
              <w:right w:val="single" w:color="000000" w:sz="6" w:space="0"/>
            </w:tcBorders>
            <w:noWrap w:val="0"/>
            <w:vAlign w:val="center"/>
          </w:tcPr>
          <w:p w14:paraId="7BD329C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226E584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w:t>
            </w:r>
          </w:p>
        </w:tc>
      </w:tr>
      <w:tr w14:paraId="1C53FEC3">
        <w:tblPrEx>
          <w:tblCellMar>
            <w:top w:w="15" w:type="dxa"/>
            <w:left w:w="15" w:type="dxa"/>
            <w:bottom w:w="15" w:type="dxa"/>
            <w:right w:w="15" w:type="dxa"/>
          </w:tblCellMar>
        </w:tblPrEx>
        <w:trPr>
          <w:trHeight w:val="681" w:hRule="atLeast"/>
        </w:trPr>
        <w:tc>
          <w:tcPr>
            <w:tcW w:w="229" w:type="pct"/>
            <w:vMerge w:val="continue"/>
            <w:tcBorders>
              <w:top w:val="nil"/>
              <w:left w:val="single" w:color="000000" w:sz="6" w:space="0"/>
              <w:bottom w:val="single" w:color="000000" w:sz="6" w:space="0"/>
              <w:right w:val="single" w:color="000000" w:sz="6" w:space="0"/>
            </w:tcBorders>
            <w:noWrap w:val="0"/>
            <w:vAlign w:val="center"/>
          </w:tcPr>
          <w:p w14:paraId="02F9579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600" w:type="pct"/>
            <w:vMerge w:val="continue"/>
            <w:tcBorders>
              <w:top w:val="nil"/>
              <w:left w:val="nil"/>
              <w:bottom w:val="single" w:color="000000" w:sz="6" w:space="0"/>
              <w:right w:val="single" w:color="000000" w:sz="6" w:space="0"/>
            </w:tcBorders>
            <w:noWrap w:val="0"/>
            <w:vAlign w:val="center"/>
          </w:tcPr>
          <w:p w14:paraId="279385F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0212ED8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非云部署（说明具体部署环境）</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5A7D4021">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医院原有自建机房</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C88A35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医院原有自建机房</w:t>
            </w:r>
          </w:p>
        </w:tc>
        <w:tc>
          <w:tcPr>
            <w:tcW w:w="694" w:type="pct"/>
            <w:vMerge w:val="continue"/>
            <w:tcBorders>
              <w:top w:val="nil"/>
              <w:left w:val="nil"/>
              <w:bottom w:val="single" w:color="000000" w:sz="6" w:space="0"/>
              <w:right w:val="single" w:color="000000" w:sz="6" w:space="0"/>
            </w:tcBorders>
            <w:noWrap w:val="0"/>
            <w:vAlign w:val="center"/>
          </w:tcPr>
          <w:p w14:paraId="5BFF4D6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5DF0F5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w:t>
            </w:r>
          </w:p>
        </w:tc>
      </w:tr>
      <w:tr w14:paraId="08BC3646">
        <w:tblPrEx>
          <w:tblCellMar>
            <w:top w:w="15" w:type="dxa"/>
            <w:left w:w="15" w:type="dxa"/>
            <w:bottom w:w="15" w:type="dxa"/>
            <w:right w:w="15" w:type="dxa"/>
          </w:tblCellMar>
        </w:tblPrEx>
        <w:trPr>
          <w:trHeight w:val="345" w:hRule="atLeast"/>
        </w:trPr>
        <w:tc>
          <w:tcPr>
            <w:tcW w:w="229" w:type="pct"/>
            <w:vMerge w:val="restart"/>
            <w:tcBorders>
              <w:top w:val="nil"/>
              <w:left w:val="single" w:color="000000" w:sz="6" w:space="0"/>
              <w:bottom w:val="single" w:color="000000" w:sz="6" w:space="0"/>
              <w:right w:val="single" w:color="000000" w:sz="6" w:space="0"/>
            </w:tcBorders>
            <w:noWrap w:val="0"/>
            <w:tcMar>
              <w:top w:w="0" w:type="dxa"/>
              <w:left w:w="105" w:type="dxa"/>
              <w:bottom w:w="0" w:type="dxa"/>
              <w:right w:w="105" w:type="dxa"/>
            </w:tcMar>
            <w:vAlign w:val="center"/>
          </w:tcPr>
          <w:p w14:paraId="3ED460C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6</w:t>
            </w:r>
          </w:p>
        </w:tc>
        <w:tc>
          <w:tcPr>
            <w:tcW w:w="600" w:type="pct"/>
            <w:vMerge w:val="restar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1A2F5E0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其他技术要素</w:t>
            </w: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3A3BD2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开发语言</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054DA51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223F691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694" w:type="pct"/>
            <w:vMerge w:val="restar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7C03C8B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4EC901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w:t>
            </w:r>
          </w:p>
        </w:tc>
      </w:tr>
      <w:tr w14:paraId="72C9E709">
        <w:tblPrEx>
          <w:tblCellMar>
            <w:top w:w="15" w:type="dxa"/>
            <w:left w:w="15" w:type="dxa"/>
            <w:bottom w:w="15" w:type="dxa"/>
            <w:right w:w="15" w:type="dxa"/>
          </w:tblCellMar>
        </w:tblPrEx>
        <w:trPr>
          <w:trHeight w:val="717" w:hRule="atLeast"/>
        </w:trPr>
        <w:tc>
          <w:tcPr>
            <w:tcW w:w="229" w:type="pct"/>
            <w:vMerge w:val="continue"/>
            <w:tcBorders>
              <w:top w:val="nil"/>
              <w:left w:val="single" w:color="000000" w:sz="6" w:space="0"/>
              <w:bottom w:val="single" w:color="000000" w:sz="6" w:space="0"/>
              <w:right w:val="single" w:color="000000" w:sz="6" w:space="0"/>
            </w:tcBorders>
            <w:noWrap w:val="0"/>
            <w:vAlign w:val="center"/>
          </w:tcPr>
          <w:p w14:paraId="50BE95F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600" w:type="pct"/>
            <w:vMerge w:val="continue"/>
            <w:tcBorders>
              <w:top w:val="nil"/>
              <w:left w:val="nil"/>
              <w:bottom w:val="single" w:color="000000" w:sz="6" w:space="0"/>
              <w:right w:val="single" w:color="000000" w:sz="6" w:space="0"/>
            </w:tcBorders>
            <w:noWrap w:val="0"/>
            <w:vAlign w:val="center"/>
          </w:tcPr>
          <w:p w14:paraId="0B26EB0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75C2DA7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大数据相关平台或工具</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2C4D0D2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35FAC52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694" w:type="pct"/>
            <w:vMerge w:val="continue"/>
            <w:tcBorders>
              <w:top w:val="nil"/>
              <w:left w:val="nil"/>
              <w:bottom w:val="single" w:color="000000" w:sz="6" w:space="0"/>
              <w:right w:val="single" w:color="000000" w:sz="6" w:space="0"/>
            </w:tcBorders>
            <w:noWrap w:val="0"/>
            <w:vAlign w:val="center"/>
          </w:tcPr>
          <w:p w14:paraId="367368E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7553760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w:t>
            </w:r>
          </w:p>
        </w:tc>
      </w:tr>
      <w:tr w14:paraId="7ED793F5">
        <w:tblPrEx>
          <w:tblCellMar>
            <w:top w:w="15" w:type="dxa"/>
            <w:left w:w="15" w:type="dxa"/>
            <w:bottom w:w="15" w:type="dxa"/>
            <w:right w:w="15" w:type="dxa"/>
          </w:tblCellMar>
        </w:tblPrEx>
        <w:trPr>
          <w:trHeight w:val="435" w:hRule="atLeast"/>
        </w:trPr>
        <w:tc>
          <w:tcPr>
            <w:tcW w:w="229" w:type="pct"/>
            <w:vMerge w:val="continue"/>
            <w:tcBorders>
              <w:top w:val="nil"/>
              <w:left w:val="single" w:color="000000" w:sz="6" w:space="0"/>
              <w:bottom w:val="single" w:color="000000" w:sz="6" w:space="0"/>
              <w:right w:val="single" w:color="000000" w:sz="6" w:space="0"/>
            </w:tcBorders>
            <w:noWrap w:val="0"/>
            <w:vAlign w:val="center"/>
          </w:tcPr>
          <w:p w14:paraId="5DE9B32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600" w:type="pct"/>
            <w:vMerge w:val="continue"/>
            <w:tcBorders>
              <w:top w:val="nil"/>
              <w:left w:val="nil"/>
              <w:bottom w:val="single" w:color="000000" w:sz="6" w:space="0"/>
              <w:right w:val="single" w:color="000000" w:sz="6" w:space="0"/>
            </w:tcBorders>
            <w:noWrap w:val="0"/>
            <w:vAlign w:val="center"/>
          </w:tcPr>
          <w:p w14:paraId="7630028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126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5F117BC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地图开发环境</w:t>
            </w:r>
          </w:p>
        </w:tc>
        <w:tc>
          <w:tcPr>
            <w:tcW w:w="677"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4247E6D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104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48F6210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694" w:type="pct"/>
            <w:vMerge w:val="continue"/>
            <w:tcBorders>
              <w:top w:val="nil"/>
              <w:left w:val="nil"/>
              <w:bottom w:val="single" w:color="000000" w:sz="6" w:space="0"/>
              <w:right w:val="single" w:color="000000" w:sz="6" w:space="0"/>
            </w:tcBorders>
            <w:noWrap w:val="0"/>
            <w:vAlign w:val="center"/>
          </w:tcPr>
          <w:p w14:paraId="3D457CA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479" w:type="pct"/>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73609A2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w:t>
            </w:r>
          </w:p>
        </w:tc>
      </w:tr>
      <w:tr w14:paraId="2D79648A">
        <w:tblPrEx>
          <w:tblCellMar>
            <w:top w:w="15" w:type="dxa"/>
            <w:left w:w="15" w:type="dxa"/>
            <w:bottom w:w="15" w:type="dxa"/>
            <w:right w:w="15" w:type="dxa"/>
          </w:tblCellMar>
        </w:tblPrEx>
        <w:trPr>
          <w:trHeight w:val="404" w:hRule="atLeast"/>
        </w:trPr>
        <w:tc>
          <w:tcPr>
            <w:tcW w:w="229" w:type="pct"/>
            <w:vMerge w:val="continue"/>
            <w:tcBorders>
              <w:top w:val="nil"/>
              <w:left w:val="single" w:color="000000" w:sz="6" w:space="0"/>
              <w:bottom w:val="single" w:color="auto" w:sz="4" w:space="0"/>
              <w:right w:val="single" w:color="000000" w:sz="6" w:space="0"/>
            </w:tcBorders>
            <w:noWrap w:val="0"/>
            <w:vAlign w:val="center"/>
          </w:tcPr>
          <w:p w14:paraId="631239A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600" w:type="pct"/>
            <w:vMerge w:val="continue"/>
            <w:tcBorders>
              <w:top w:val="nil"/>
              <w:left w:val="nil"/>
              <w:bottom w:val="single" w:color="auto" w:sz="4" w:space="0"/>
              <w:right w:val="single" w:color="000000" w:sz="6" w:space="0"/>
            </w:tcBorders>
            <w:noWrap w:val="0"/>
            <w:vAlign w:val="center"/>
          </w:tcPr>
          <w:p w14:paraId="5E2C963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1267" w:type="pct"/>
            <w:tcBorders>
              <w:top w:val="nil"/>
              <w:left w:val="nil"/>
              <w:bottom w:val="single" w:color="auto" w:sz="4" w:space="0"/>
              <w:right w:val="single" w:color="000000" w:sz="6" w:space="0"/>
            </w:tcBorders>
            <w:noWrap w:val="0"/>
            <w:tcMar>
              <w:top w:w="0" w:type="dxa"/>
              <w:left w:w="105" w:type="dxa"/>
              <w:bottom w:w="0" w:type="dxa"/>
              <w:right w:w="105" w:type="dxa"/>
            </w:tcMar>
            <w:vAlign w:val="center"/>
          </w:tcPr>
          <w:p w14:paraId="42A3C02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其他（可自行补充）</w:t>
            </w:r>
          </w:p>
        </w:tc>
        <w:tc>
          <w:tcPr>
            <w:tcW w:w="677" w:type="pct"/>
            <w:tcBorders>
              <w:top w:val="nil"/>
              <w:left w:val="nil"/>
              <w:bottom w:val="single" w:color="auto" w:sz="4" w:space="0"/>
              <w:right w:val="single" w:color="000000" w:sz="6" w:space="0"/>
            </w:tcBorders>
            <w:noWrap w:val="0"/>
            <w:tcMar>
              <w:top w:w="0" w:type="dxa"/>
              <w:left w:w="105" w:type="dxa"/>
              <w:bottom w:w="0" w:type="dxa"/>
              <w:right w:w="105" w:type="dxa"/>
            </w:tcMar>
            <w:vAlign w:val="center"/>
          </w:tcPr>
          <w:p w14:paraId="00B31A4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1049" w:type="pct"/>
            <w:tcBorders>
              <w:top w:val="nil"/>
              <w:left w:val="nil"/>
              <w:bottom w:val="single" w:color="auto" w:sz="4" w:space="0"/>
              <w:right w:val="single" w:color="000000" w:sz="6" w:space="0"/>
            </w:tcBorders>
            <w:noWrap w:val="0"/>
            <w:tcMar>
              <w:top w:w="0" w:type="dxa"/>
              <w:left w:w="105" w:type="dxa"/>
              <w:bottom w:w="0" w:type="dxa"/>
              <w:right w:w="105" w:type="dxa"/>
            </w:tcMar>
            <w:vAlign w:val="center"/>
          </w:tcPr>
          <w:p w14:paraId="74BEBE9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w:t>
            </w:r>
          </w:p>
        </w:tc>
        <w:tc>
          <w:tcPr>
            <w:tcW w:w="694" w:type="pct"/>
            <w:vMerge w:val="continue"/>
            <w:tcBorders>
              <w:top w:val="nil"/>
              <w:left w:val="nil"/>
              <w:bottom w:val="single" w:color="auto" w:sz="4" w:space="0"/>
              <w:right w:val="single" w:color="000000" w:sz="6" w:space="0"/>
            </w:tcBorders>
            <w:noWrap w:val="0"/>
            <w:vAlign w:val="center"/>
          </w:tcPr>
          <w:p w14:paraId="2106ADF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479" w:type="pct"/>
            <w:tcBorders>
              <w:top w:val="nil"/>
              <w:left w:val="nil"/>
              <w:bottom w:val="single" w:color="auto" w:sz="4" w:space="0"/>
              <w:right w:val="single" w:color="000000" w:sz="6" w:space="0"/>
            </w:tcBorders>
            <w:noWrap w:val="0"/>
            <w:tcMar>
              <w:top w:w="0" w:type="dxa"/>
              <w:left w:w="105" w:type="dxa"/>
              <w:bottom w:w="0" w:type="dxa"/>
              <w:right w:w="105" w:type="dxa"/>
            </w:tcMar>
            <w:vAlign w:val="center"/>
          </w:tcPr>
          <w:p w14:paraId="420803C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w:t>
            </w:r>
          </w:p>
        </w:tc>
      </w:tr>
    </w:tbl>
    <w:p w14:paraId="1686C2D9">
      <w:pPr>
        <w:keepNext/>
        <w:keepLines/>
        <w:widowControl w:val="0"/>
        <w:numPr>
          <w:ilvl w:val="3"/>
          <w:numId w:val="1"/>
        </w:numPr>
        <w:adjustRightInd w:val="0"/>
        <w:spacing w:before="0" w:after="0" w:line="400" w:lineRule="exact"/>
        <w:ind w:left="0" w:firstLine="0"/>
        <w:jc w:val="both"/>
        <w:textAlignment w:val="baseline"/>
        <w:outlineLvl w:val="3"/>
        <w:rPr>
          <w:rFonts w:hint="eastAsia" w:ascii="黑体" w:hAnsi="黑体" w:eastAsia="黑体" w:cs="Times New Roman"/>
          <w:b w:val="0"/>
          <w:bCs w:val="0"/>
          <w:color w:val="auto"/>
          <w:sz w:val="24"/>
          <w:szCs w:val="24"/>
          <w:highlight w:val="none"/>
          <w:lang w:val="en-US" w:eastAsia="zh-CN" w:bidi="ar-SA"/>
        </w:rPr>
      </w:pPr>
      <w:bookmarkStart w:id="13" w:name="_Toc998763922"/>
      <w:r>
        <w:rPr>
          <w:rFonts w:hint="eastAsia" w:ascii="黑体" w:hAnsi="黑体" w:eastAsia="黑体" w:cs="Times New Roman"/>
          <w:b w:val="0"/>
          <w:bCs w:val="0"/>
          <w:color w:val="auto"/>
          <w:sz w:val="24"/>
          <w:szCs w:val="24"/>
          <w:highlight w:val="none"/>
          <w:lang w:val="en-US" w:eastAsia="zh-CN" w:bidi="ar-SA"/>
        </w:rPr>
        <w:t>建设内容</w:t>
      </w:r>
      <w:bookmarkEnd w:id="13"/>
    </w:p>
    <w:p w14:paraId="53C721F1">
      <w:pPr>
        <w:adjustRightInd w:val="0"/>
        <w:spacing w:before="60" w:after="60" w:line="360" w:lineRule="auto"/>
        <w:jc w:val="left"/>
        <w:textAlignment w:val="baseline"/>
        <w:rPr>
          <w:rFonts w:hint="eastAsia" w:ascii="Times New Roman" w:hAnsi="Times New Roman" w:cs="Times New Roman"/>
          <w:b w:val="0"/>
          <w:bCs w:val="0"/>
          <w:color w:val="auto"/>
          <w:kern w:val="0"/>
          <w:sz w:val="24"/>
          <w:szCs w:val="24"/>
          <w:highlight w:val="none"/>
          <w:lang w:val="en-US" w:eastAsia="zh-CN"/>
        </w:rPr>
      </w:pPr>
      <w:r>
        <w:rPr>
          <w:rFonts w:hint="eastAsia" w:ascii="仿宋_GB2312" w:hAnsi="仿宋_GB2312" w:eastAsia="仿宋_GB2312" w:cs="仿宋_GB2312"/>
          <w:b w:val="0"/>
          <w:bCs w:val="0"/>
          <w:color w:val="auto"/>
          <w:kern w:val="0"/>
          <w:sz w:val="24"/>
          <w:szCs w:val="20"/>
          <w:highlight w:val="none"/>
        </w:rPr>
        <w:t>表</w:t>
      </w:r>
      <w:r>
        <w:rPr>
          <w:rFonts w:hint="eastAsia" w:ascii="仿宋_GB2312" w:hAnsi="仿宋_GB2312" w:eastAsia="仿宋_GB2312" w:cs="仿宋_GB2312"/>
          <w:b w:val="0"/>
          <w:bCs w:val="0"/>
          <w:color w:val="auto"/>
          <w:kern w:val="0"/>
          <w:sz w:val="24"/>
          <w:szCs w:val="20"/>
          <w:highlight w:val="none"/>
          <w:lang w:val="en-US" w:eastAsia="zh-CN"/>
        </w:rPr>
        <w:t xml:space="preserve">5 </w:t>
      </w:r>
      <w:r>
        <w:rPr>
          <w:rFonts w:hint="eastAsia" w:ascii="仿宋_GB2312" w:hAnsi="Times New Roman" w:eastAsia="仿宋_GB2312" w:cs="Times New Roman"/>
          <w:b w:val="0"/>
          <w:bCs w:val="0"/>
          <w:color w:val="auto"/>
          <w:kern w:val="0"/>
          <w:sz w:val="24"/>
          <w:szCs w:val="20"/>
          <w:highlight w:val="none"/>
          <w:lang w:val="en-US" w:eastAsia="zh-CN"/>
        </w:rPr>
        <w:t>增城区中医医院医保业务信息系统接口改造建设内容包含但不限于以下内容：</w:t>
      </w:r>
    </w:p>
    <w:tbl>
      <w:tblPr>
        <w:tblStyle w:val="4"/>
        <w:tblW w:w="55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3375"/>
        <w:gridCol w:w="5007"/>
      </w:tblGrid>
      <w:tr w14:paraId="0DBE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547" w:type="pct"/>
            <w:vAlign w:val="center"/>
          </w:tcPr>
          <w:p w14:paraId="1DCCE81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序号</w:t>
            </w:r>
          </w:p>
        </w:tc>
        <w:tc>
          <w:tcPr>
            <w:tcW w:w="1792" w:type="pct"/>
            <w:vAlign w:val="center"/>
          </w:tcPr>
          <w:p w14:paraId="236A7CB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功能模块</w:t>
            </w:r>
          </w:p>
        </w:tc>
        <w:tc>
          <w:tcPr>
            <w:tcW w:w="2659" w:type="pct"/>
            <w:vAlign w:val="center"/>
          </w:tcPr>
          <w:p w14:paraId="03EED15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功能说明</w:t>
            </w:r>
          </w:p>
        </w:tc>
      </w:tr>
      <w:tr w14:paraId="5B099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547" w:type="pct"/>
            <w:vAlign w:val="center"/>
          </w:tcPr>
          <w:p w14:paraId="39A60B75">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w:t>
            </w:r>
          </w:p>
        </w:tc>
        <w:tc>
          <w:tcPr>
            <w:tcW w:w="1792" w:type="pct"/>
            <w:vAlign w:val="center"/>
          </w:tcPr>
          <w:p w14:paraId="7C9C8EA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无感支付功能</w:t>
            </w:r>
            <w:r>
              <w:rPr>
                <w:rFonts w:hint="eastAsia" w:ascii="仿宋_GB2312" w:hAnsi="黑体" w:eastAsia="仿宋_GB2312" w:cs="黑体"/>
                <w:b w:val="0"/>
                <w:bCs w:val="0"/>
                <w:color w:val="auto"/>
                <w:kern w:val="0"/>
                <w:sz w:val="21"/>
                <w:szCs w:val="21"/>
                <w:highlight w:val="none"/>
                <w:lang w:val="en-US" w:eastAsia="zh-CN"/>
              </w:rPr>
              <w:t>模块</w:t>
            </w:r>
          </w:p>
        </w:tc>
        <w:tc>
          <w:tcPr>
            <w:tcW w:w="2659" w:type="pct"/>
            <w:vAlign w:val="center"/>
          </w:tcPr>
          <w:p w14:paraId="7EBA04D6">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广州市医疗保险服务中心关于推进就医信用无感支付开展医保医疗费用结算业务的通知</w:t>
            </w:r>
            <w:r>
              <w:rPr>
                <w:rFonts w:hint="eastAsia" w:ascii="仿宋_GB2312" w:hAnsi="黑体" w:eastAsia="仿宋_GB2312" w:cs="黑体"/>
                <w:b w:val="0"/>
                <w:bCs w:val="0"/>
                <w:color w:val="auto"/>
                <w:kern w:val="0"/>
                <w:sz w:val="21"/>
                <w:szCs w:val="21"/>
                <w:highlight w:val="none"/>
                <w:lang w:val="en-US" w:eastAsia="zh-CN"/>
              </w:rPr>
              <w:t>》的需求</w:t>
            </w:r>
          </w:p>
        </w:tc>
      </w:tr>
      <w:tr w14:paraId="15E8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547" w:type="pct"/>
            <w:vAlign w:val="center"/>
          </w:tcPr>
          <w:p w14:paraId="4CDE5870">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w:t>
            </w:r>
          </w:p>
        </w:tc>
        <w:tc>
          <w:tcPr>
            <w:tcW w:w="1792" w:type="pct"/>
            <w:vAlign w:val="center"/>
          </w:tcPr>
          <w:p w14:paraId="6C507A81">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新生儿医疗费用医保结算服务对接功能模块</w:t>
            </w:r>
          </w:p>
        </w:tc>
        <w:tc>
          <w:tcPr>
            <w:tcW w:w="2659" w:type="pct"/>
            <w:vAlign w:val="center"/>
          </w:tcPr>
          <w:p w14:paraId="2012924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广州市医疗保险服务中心关于进一步做好新生儿医疗费用医保结算服务的通知</w:t>
            </w:r>
            <w:r>
              <w:rPr>
                <w:rFonts w:hint="eastAsia" w:ascii="仿宋_GB2312" w:hAnsi="黑体" w:eastAsia="仿宋_GB2312" w:cs="黑体"/>
                <w:b w:val="0"/>
                <w:bCs w:val="0"/>
                <w:color w:val="auto"/>
                <w:kern w:val="0"/>
                <w:sz w:val="21"/>
                <w:szCs w:val="21"/>
                <w:highlight w:val="none"/>
                <w:lang w:val="en-US" w:eastAsia="zh-CN"/>
              </w:rPr>
              <w:t>》的需求</w:t>
            </w:r>
          </w:p>
        </w:tc>
      </w:tr>
      <w:tr w14:paraId="2A08C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547" w:type="pct"/>
            <w:vAlign w:val="center"/>
          </w:tcPr>
          <w:p w14:paraId="5C50AEF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w:t>
            </w:r>
          </w:p>
        </w:tc>
        <w:tc>
          <w:tcPr>
            <w:tcW w:w="1792" w:type="pct"/>
            <w:vAlign w:val="center"/>
          </w:tcPr>
          <w:p w14:paraId="0C6749D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医疗收费电子结算凭证应用功能模块</w:t>
            </w:r>
          </w:p>
        </w:tc>
        <w:tc>
          <w:tcPr>
            <w:tcW w:w="2659" w:type="pct"/>
            <w:vAlign w:val="center"/>
          </w:tcPr>
          <w:p w14:paraId="5BE8AEAE">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广州市医疗保险服务中心关于进一步深入开展医疗收费电子结算凭证应用的通知</w:t>
            </w:r>
            <w:r>
              <w:rPr>
                <w:rFonts w:hint="eastAsia" w:ascii="仿宋_GB2312" w:hAnsi="黑体" w:eastAsia="仿宋_GB2312" w:cs="黑体"/>
                <w:b w:val="0"/>
                <w:bCs w:val="0"/>
                <w:color w:val="auto"/>
                <w:kern w:val="0"/>
                <w:sz w:val="21"/>
                <w:szCs w:val="21"/>
                <w:highlight w:val="none"/>
                <w:lang w:val="en-US" w:eastAsia="zh-CN"/>
              </w:rPr>
              <w:t>》的需求</w:t>
            </w:r>
          </w:p>
        </w:tc>
      </w:tr>
      <w:tr w14:paraId="69099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547" w:type="pct"/>
            <w:vAlign w:val="center"/>
          </w:tcPr>
          <w:p w14:paraId="5BA78ADD">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4</w:t>
            </w:r>
          </w:p>
        </w:tc>
        <w:tc>
          <w:tcPr>
            <w:tcW w:w="1792" w:type="pct"/>
            <w:vAlign w:val="center"/>
          </w:tcPr>
          <w:p w14:paraId="5E7D2E7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定点医疗机构医保药品</w:t>
            </w:r>
            <w:r>
              <w:rPr>
                <w:rFonts w:hint="default" w:ascii="仿宋_GB2312" w:hAnsi="黑体" w:eastAsia="仿宋_GB2312" w:cs="黑体"/>
                <w:b w:val="0"/>
                <w:bCs w:val="0"/>
                <w:color w:val="auto"/>
                <w:kern w:val="0"/>
                <w:sz w:val="21"/>
                <w:szCs w:val="21"/>
                <w:highlight w:val="none"/>
                <w:lang w:val="en-US" w:eastAsia="zh-CN"/>
              </w:rPr>
              <w:t>追溯码</w:t>
            </w:r>
            <w:r>
              <w:rPr>
                <w:rFonts w:hint="eastAsia" w:ascii="仿宋_GB2312" w:hAnsi="黑体" w:eastAsia="仿宋_GB2312" w:cs="黑体"/>
                <w:b w:val="0"/>
                <w:bCs w:val="0"/>
                <w:color w:val="auto"/>
                <w:kern w:val="0"/>
                <w:sz w:val="21"/>
                <w:szCs w:val="21"/>
                <w:highlight w:val="none"/>
                <w:lang w:val="en-US" w:eastAsia="zh-CN"/>
              </w:rPr>
              <w:t>信息采集对接功能模块</w:t>
            </w:r>
          </w:p>
        </w:tc>
        <w:tc>
          <w:tcPr>
            <w:tcW w:w="2659" w:type="pct"/>
            <w:vAlign w:val="center"/>
          </w:tcPr>
          <w:p w14:paraId="53177586">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广州市医疗保险服务中心关于开展定点医疗机构医保药品追溯码信息采集试点工作的通知</w:t>
            </w:r>
            <w:r>
              <w:rPr>
                <w:rFonts w:hint="eastAsia" w:ascii="仿宋_GB2312" w:hAnsi="黑体" w:eastAsia="仿宋_GB2312" w:cs="黑体"/>
                <w:b w:val="0"/>
                <w:bCs w:val="0"/>
                <w:color w:val="auto"/>
                <w:kern w:val="0"/>
                <w:sz w:val="21"/>
                <w:szCs w:val="21"/>
                <w:highlight w:val="none"/>
                <w:lang w:val="en-US" w:eastAsia="zh-CN"/>
              </w:rPr>
              <w:t>》的需求</w:t>
            </w:r>
          </w:p>
        </w:tc>
      </w:tr>
      <w:tr w14:paraId="7D305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547" w:type="pct"/>
            <w:vAlign w:val="center"/>
          </w:tcPr>
          <w:p w14:paraId="102F005D">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w:t>
            </w:r>
          </w:p>
        </w:tc>
        <w:tc>
          <w:tcPr>
            <w:tcW w:w="1792" w:type="pct"/>
            <w:vAlign w:val="center"/>
          </w:tcPr>
          <w:p w14:paraId="7F7A3B1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门诊特定病种编码统一应用功能模块</w:t>
            </w:r>
          </w:p>
        </w:tc>
        <w:tc>
          <w:tcPr>
            <w:tcW w:w="2659" w:type="pct"/>
            <w:vAlign w:val="center"/>
          </w:tcPr>
          <w:p w14:paraId="04DA04D4">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广州市医疗保险服务中心关于做好门诊特定病种编码统一工作的通知</w:t>
            </w:r>
            <w:r>
              <w:rPr>
                <w:rFonts w:hint="eastAsia" w:ascii="仿宋_GB2312" w:hAnsi="黑体" w:eastAsia="仿宋_GB2312" w:cs="黑体"/>
                <w:b w:val="0"/>
                <w:bCs w:val="0"/>
                <w:color w:val="auto"/>
                <w:kern w:val="0"/>
                <w:sz w:val="21"/>
                <w:szCs w:val="21"/>
                <w:highlight w:val="none"/>
                <w:lang w:val="en-US" w:eastAsia="zh-CN"/>
              </w:rPr>
              <w:t>》的需求</w:t>
            </w:r>
          </w:p>
        </w:tc>
      </w:tr>
      <w:tr w14:paraId="0478B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547" w:type="pct"/>
            <w:vAlign w:val="center"/>
          </w:tcPr>
          <w:p w14:paraId="460E8CFD">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6</w:t>
            </w:r>
          </w:p>
        </w:tc>
        <w:tc>
          <w:tcPr>
            <w:tcW w:w="1792" w:type="pct"/>
            <w:vAlign w:val="center"/>
          </w:tcPr>
          <w:p w14:paraId="4751621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医保电子凭证全流程应用接口改造功能模块</w:t>
            </w:r>
          </w:p>
        </w:tc>
        <w:tc>
          <w:tcPr>
            <w:tcW w:w="2659" w:type="pct"/>
            <w:vAlign w:val="center"/>
          </w:tcPr>
          <w:p w14:paraId="4517EBA3">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广东省医疗保障局转发国家医保局办公室关于开展医保电子凭证全流程应用“走流程、找堵点”活动的通知</w:t>
            </w:r>
            <w:r>
              <w:rPr>
                <w:rFonts w:hint="eastAsia" w:ascii="仿宋_GB2312" w:hAnsi="黑体" w:eastAsia="仿宋_GB2312" w:cs="黑体"/>
                <w:b w:val="0"/>
                <w:bCs w:val="0"/>
                <w:color w:val="auto"/>
                <w:kern w:val="0"/>
                <w:sz w:val="21"/>
                <w:szCs w:val="21"/>
                <w:highlight w:val="none"/>
                <w:lang w:val="en-US" w:eastAsia="zh-CN"/>
              </w:rPr>
              <w:t>》的需求</w:t>
            </w:r>
          </w:p>
        </w:tc>
      </w:tr>
      <w:tr w14:paraId="218C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547" w:type="pct"/>
            <w:vAlign w:val="center"/>
          </w:tcPr>
          <w:p w14:paraId="4A8E9399">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7</w:t>
            </w:r>
          </w:p>
        </w:tc>
        <w:tc>
          <w:tcPr>
            <w:tcW w:w="1792" w:type="pct"/>
            <w:vAlign w:val="center"/>
          </w:tcPr>
          <w:p w14:paraId="644A247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国家医保谈判药品“双通道”接口改造功能模块</w:t>
            </w:r>
          </w:p>
        </w:tc>
        <w:tc>
          <w:tcPr>
            <w:tcW w:w="2659" w:type="pct"/>
            <w:vAlign w:val="center"/>
          </w:tcPr>
          <w:p w14:paraId="31599BB2">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广州市医疗保险服务中心关于进一步推进开展国家医保谈判药品“双通道”业务的通知</w:t>
            </w:r>
            <w:r>
              <w:rPr>
                <w:rFonts w:hint="eastAsia" w:ascii="仿宋_GB2312" w:hAnsi="黑体" w:eastAsia="仿宋_GB2312" w:cs="黑体"/>
                <w:b w:val="0"/>
                <w:bCs w:val="0"/>
                <w:color w:val="auto"/>
                <w:kern w:val="0"/>
                <w:sz w:val="21"/>
                <w:szCs w:val="21"/>
                <w:highlight w:val="none"/>
                <w:lang w:val="en-US" w:eastAsia="zh-CN"/>
              </w:rPr>
              <w:t>》的需求</w:t>
            </w:r>
          </w:p>
        </w:tc>
      </w:tr>
      <w:tr w14:paraId="1E66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547" w:type="pct"/>
            <w:vAlign w:val="center"/>
          </w:tcPr>
          <w:p w14:paraId="1CB766E4">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8</w:t>
            </w:r>
          </w:p>
        </w:tc>
        <w:tc>
          <w:tcPr>
            <w:tcW w:w="1792" w:type="pct"/>
            <w:vAlign w:val="center"/>
          </w:tcPr>
          <w:p w14:paraId="080BB06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完善参保人员医疗救助金记账结算业务接口改造功能</w:t>
            </w:r>
          </w:p>
        </w:tc>
        <w:tc>
          <w:tcPr>
            <w:tcW w:w="2659" w:type="pct"/>
            <w:vAlign w:val="center"/>
          </w:tcPr>
          <w:p w14:paraId="1E8F743B">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广州市医疗保险服务中心关于完善参保人员医疗救助金记账结算工作的通知</w:t>
            </w:r>
            <w:r>
              <w:rPr>
                <w:rFonts w:hint="eastAsia" w:ascii="仿宋_GB2312" w:hAnsi="黑体" w:eastAsia="仿宋_GB2312" w:cs="黑体"/>
                <w:b w:val="0"/>
                <w:bCs w:val="0"/>
                <w:color w:val="auto"/>
                <w:kern w:val="0"/>
                <w:sz w:val="21"/>
                <w:szCs w:val="21"/>
                <w:highlight w:val="none"/>
                <w:lang w:val="en-US" w:eastAsia="zh-CN"/>
              </w:rPr>
              <w:t>》的需求</w:t>
            </w:r>
          </w:p>
        </w:tc>
      </w:tr>
      <w:tr w14:paraId="256C4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47" w:type="pct"/>
            <w:vAlign w:val="center"/>
          </w:tcPr>
          <w:p w14:paraId="1A9D2F82">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9</w:t>
            </w:r>
          </w:p>
        </w:tc>
        <w:tc>
          <w:tcPr>
            <w:tcW w:w="1792" w:type="pct"/>
            <w:vAlign w:val="center"/>
          </w:tcPr>
          <w:p w14:paraId="371AAB33">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医保结算清单4101A接口</w:t>
            </w:r>
            <w:r>
              <w:rPr>
                <w:rFonts w:hint="eastAsia" w:ascii="仿宋_GB2312" w:hAnsi="黑体" w:eastAsia="仿宋_GB2312" w:cs="黑体"/>
                <w:b w:val="0"/>
                <w:bCs w:val="0"/>
                <w:color w:val="auto"/>
                <w:kern w:val="0"/>
                <w:sz w:val="21"/>
                <w:szCs w:val="21"/>
                <w:highlight w:val="none"/>
                <w:lang w:val="en-US" w:eastAsia="zh-CN"/>
              </w:rPr>
              <w:t>改造功能模块</w:t>
            </w:r>
          </w:p>
        </w:tc>
        <w:tc>
          <w:tcPr>
            <w:tcW w:w="2659" w:type="pct"/>
            <w:vAlign w:val="center"/>
          </w:tcPr>
          <w:p w14:paraId="78A7882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w:t>
            </w:r>
            <w:r>
              <w:rPr>
                <w:rFonts w:hint="default" w:ascii="仿宋_GB2312" w:hAnsi="黑体" w:eastAsia="仿宋_GB2312" w:cs="黑体"/>
                <w:b w:val="0"/>
                <w:bCs w:val="0"/>
                <w:color w:val="auto"/>
                <w:kern w:val="0"/>
                <w:sz w:val="21"/>
                <w:szCs w:val="21"/>
                <w:highlight w:val="none"/>
                <w:lang w:val="en-US" w:eastAsia="zh-CN"/>
              </w:rPr>
              <w:t>广州市医疗保险服务中心关于做好医保结算清单4101A接口更新工作的通知</w:t>
            </w:r>
            <w:r>
              <w:rPr>
                <w:rFonts w:hint="eastAsia" w:ascii="仿宋_GB2312" w:hAnsi="黑体" w:eastAsia="仿宋_GB2312" w:cs="黑体"/>
                <w:b w:val="0"/>
                <w:bCs w:val="0"/>
                <w:color w:val="auto"/>
                <w:kern w:val="0"/>
                <w:sz w:val="21"/>
                <w:szCs w:val="21"/>
                <w:highlight w:val="none"/>
                <w:lang w:val="en-US" w:eastAsia="zh-CN"/>
              </w:rPr>
              <w:t>》的需求</w:t>
            </w:r>
          </w:p>
        </w:tc>
      </w:tr>
      <w:tr w14:paraId="230AF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47" w:type="pct"/>
            <w:vAlign w:val="center"/>
          </w:tcPr>
          <w:p w14:paraId="7BDA74B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10</w:t>
            </w:r>
          </w:p>
        </w:tc>
        <w:tc>
          <w:tcPr>
            <w:tcW w:w="1792" w:type="pct"/>
            <w:vAlign w:val="center"/>
          </w:tcPr>
          <w:p w14:paraId="0C79DFA2">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default" w:ascii="仿宋_GB2312" w:hAnsi="黑体" w:eastAsia="仿宋_GB2312" w:cs="黑体"/>
                <w:b w:val="0"/>
                <w:bCs w:val="0"/>
                <w:color w:val="auto"/>
                <w:kern w:val="0"/>
                <w:sz w:val="21"/>
                <w:szCs w:val="21"/>
                <w:highlight w:val="none"/>
                <w:lang w:val="en-US" w:eastAsia="zh-CN"/>
              </w:rPr>
              <w:t xml:space="preserve">医保智能审核 </w:t>
            </w:r>
          </w:p>
        </w:tc>
        <w:tc>
          <w:tcPr>
            <w:tcW w:w="2659" w:type="pct"/>
            <w:vAlign w:val="center"/>
          </w:tcPr>
          <w:p w14:paraId="558DDF3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功能根据《广州市医疗保险服务中心关于印发智能审</w:t>
            </w:r>
          </w:p>
          <w:p w14:paraId="5BE3434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核事前提醒工作指引的通知》的需求</w:t>
            </w:r>
          </w:p>
        </w:tc>
      </w:tr>
      <w:tr w14:paraId="503CA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47" w:type="pct"/>
            <w:vAlign w:val="center"/>
          </w:tcPr>
          <w:p w14:paraId="0546BF08">
            <w:pPr>
              <w:widowControl/>
              <w:spacing w:beforeLines="0" w:afterLines="0"/>
              <w:jc w:val="center"/>
              <w:rPr>
                <w:rFonts w:hint="eastAsia" w:ascii="仿宋_GB2312" w:hAnsi="黑体" w:eastAsia="仿宋_GB2312" w:cs="Times New Roman"/>
                <w:color w:val="auto"/>
                <w:kern w:val="0"/>
                <w:sz w:val="21"/>
                <w:szCs w:val="24"/>
                <w:lang w:val="en-US" w:eastAsia="zh-CN" w:bidi="ar-SA"/>
              </w:rPr>
            </w:pPr>
            <w:r>
              <w:rPr>
                <w:rFonts w:hint="eastAsia" w:ascii="仿宋_GB2312" w:hAnsi="黑体" w:eastAsia="仿宋_GB2312"/>
                <w:color w:val="auto"/>
                <w:kern w:val="0"/>
                <w:sz w:val="21"/>
              </w:rPr>
              <w:t>11</w:t>
            </w:r>
          </w:p>
        </w:tc>
        <w:tc>
          <w:tcPr>
            <w:tcW w:w="1792" w:type="pct"/>
            <w:vAlign w:val="center"/>
          </w:tcPr>
          <w:p w14:paraId="7A35DB8D">
            <w:pPr>
              <w:widowControl/>
              <w:spacing w:beforeLines="0" w:afterLines="0"/>
              <w:jc w:val="center"/>
              <w:rPr>
                <w:rFonts w:hint="default" w:ascii="仿宋_GB2312" w:hAnsi="黑体" w:eastAsia="仿宋_GB2312" w:cs="Times New Roman"/>
                <w:color w:val="auto"/>
                <w:kern w:val="0"/>
                <w:sz w:val="21"/>
                <w:szCs w:val="24"/>
                <w:lang w:val="en-US" w:eastAsia="zh-CN" w:bidi="ar-SA"/>
              </w:rPr>
            </w:pPr>
            <w:r>
              <w:rPr>
                <w:rFonts w:hint="eastAsia" w:ascii="仿宋_GB2312" w:hAnsi="黑体" w:eastAsia="仿宋_GB2312"/>
                <w:color w:val="auto"/>
                <w:kern w:val="0"/>
                <w:sz w:val="21"/>
              </w:rPr>
              <w:t xml:space="preserve">工伤保险跨省异地就医直接结算 </w:t>
            </w:r>
          </w:p>
        </w:tc>
        <w:tc>
          <w:tcPr>
            <w:tcW w:w="2659" w:type="pct"/>
            <w:vAlign w:val="center"/>
          </w:tcPr>
          <w:p w14:paraId="666B024B">
            <w:pPr>
              <w:widowControl/>
              <w:spacing w:beforeLines="0" w:afterLines="0"/>
              <w:jc w:val="center"/>
              <w:rPr>
                <w:rFonts w:hint="eastAsia" w:ascii="仿宋_GB2312" w:hAnsi="仿宋_GB2312" w:eastAsia="仿宋_GB2312" w:cs="Times New Roman"/>
                <w:color w:val="auto"/>
                <w:kern w:val="2"/>
                <w:sz w:val="21"/>
                <w:szCs w:val="24"/>
                <w:lang w:val="en-US" w:eastAsia="zh-CN" w:bidi="ar-SA"/>
              </w:rPr>
            </w:pPr>
            <w:r>
              <w:rPr>
                <w:rFonts w:hint="default" w:ascii="仿宋_GB2312" w:hAnsi="仿宋_GB2312" w:eastAsia="仿宋_GB2312"/>
                <w:color w:val="auto"/>
                <w:sz w:val="21"/>
              </w:rPr>
              <w:t>功能根据《关于做好 2025 年我省工伤保险跨省异地就医直接结算试点扩围有关工作的通知》的需求</w:t>
            </w:r>
          </w:p>
        </w:tc>
      </w:tr>
      <w:tr w14:paraId="19463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47" w:type="pct"/>
            <w:vAlign w:val="center"/>
          </w:tcPr>
          <w:p w14:paraId="7232A4D2">
            <w:pPr>
              <w:widowControl/>
              <w:spacing w:beforeLines="0" w:afterLines="0"/>
              <w:jc w:val="center"/>
              <w:rPr>
                <w:rFonts w:hint="default" w:ascii="仿宋_GB2312" w:hAnsi="黑体" w:eastAsia="仿宋_GB2312"/>
                <w:color w:val="auto"/>
                <w:kern w:val="0"/>
                <w:sz w:val="21"/>
                <w:lang w:val="en-US" w:eastAsia="zh-CN"/>
              </w:rPr>
            </w:pPr>
            <w:r>
              <w:rPr>
                <w:rFonts w:hint="eastAsia" w:ascii="仿宋_GB2312" w:hAnsi="黑体" w:eastAsia="仿宋_GB2312"/>
                <w:color w:val="auto"/>
                <w:kern w:val="0"/>
                <w:sz w:val="21"/>
                <w:lang w:val="en-US" w:eastAsia="zh-CN"/>
              </w:rPr>
              <w:t>12</w:t>
            </w:r>
          </w:p>
        </w:tc>
        <w:tc>
          <w:tcPr>
            <w:tcW w:w="1792" w:type="pct"/>
            <w:vAlign w:val="center"/>
          </w:tcPr>
          <w:p w14:paraId="61505F6B">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s="黑体"/>
                <w:b w:val="0"/>
                <w:bCs w:val="0"/>
                <w:color w:val="auto"/>
                <w:kern w:val="0"/>
                <w:sz w:val="21"/>
                <w:szCs w:val="21"/>
                <w:highlight w:val="none"/>
                <w:lang w:val="en-US" w:eastAsia="zh-CN"/>
              </w:rPr>
              <w:t>工伤保险职业伤害保障</w:t>
            </w:r>
          </w:p>
        </w:tc>
        <w:tc>
          <w:tcPr>
            <w:tcW w:w="2659" w:type="pct"/>
            <w:vAlign w:val="center"/>
          </w:tcPr>
          <w:p w14:paraId="61299910">
            <w:pPr>
              <w:widowControl/>
              <w:spacing w:beforeLines="0" w:afterLines="0"/>
              <w:jc w:val="center"/>
              <w:rPr>
                <w:rFonts w:hint="default" w:ascii="仿宋_GB2312" w:hAnsi="仿宋_GB2312" w:eastAsia="仿宋_GB2312"/>
                <w:color w:val="auto"/>
                <w:sz w:val="21"/>
                <w:lang w:val="en-US"/>
              </w:rPr>
            </w:pPr>
            <w:r>
              <w:rPr>
                <w:rFonts w:hint="eastAsia" w:ascii="仿宋_GB2312" w:hAnsi="黑体" w:eastAsia="仿宋_GB2312" w:cs="黑体"/>
                <w:b w:val="0"/>
                <w:bCs w:val="0"/>
                <w:color w:val="auto"/>
                <w:kern w:val="0"/>
                <w:sz w:val="21"/>
                <w:szCs w:val="21"/>
                <w:highlight w:val="none"/>
                <w:lang w:val="en-US" w:eastAsia="zh-CN"/>
              </w:rPr>
              <w:t>功能根据《广东省新就业形态就业人员职业伤害保障待遇核付管理指导意见》或新文件要求</w:t>
            </w:r>
          </w:p>
        </w:tc>
      </w:tr>
      <w:tr w14:paraId="1217F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47" w:type="pct"/>
            <w:vAlign w:val="center"/>
          </w:tcPr>
          <w:p w14:paraId="796113F0">
            <w:pPr>
              <w:widowControl/>
              <w:spacing w:beforeLines="0" w:afterLines="0"/>
              <w:jc w:val="center"/>
              <w:rPr>
                <w:rFonts w:hint="default" w:ascii="仿宋_GB2312" w:hAnsi="黑体" w:eastAsia="仿宋_GB2312"/>
                <w:color w:val="auto"/>
                <w:kern w:val="0"/>
                <w:sz w:val="21"/>
                <w:lang w:val="en-US" w:eastAsia="zh-CN"/>
              </w:rPr>
            </w:pPr>
            <w:r>
              <w:rPr>
                <w:rFonts w:hint="eastAsia" w:ascii="仿宋_GB2312" w:hAnsi="黑体" w:eastAsia="仿宋_GB2312"/>
                <w:color w:val="auto"/>
                <w:kern w:val="0"/>
                <w:sz w:val="21"/>
                <w:lang w:val="en-US" w:eastAsia="zh-CN"/>
              </w:rPr>
              <w:t>13</w:t>
            </w:r>
          </w:p>
        </w:tc>
        <w:tc>
          <w:tcPr>
            <w:tcW w:w="1792" w:type="pct"/>
            <w:vAlign w:val="center"/>
          </w:tcPr>
          <w:p w14:paraId="4591FC77">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传染病智能监测预警前置软件部署</w:t>
            </w:r>
          </w:p>
        </w:tc>
        <w:tc>
          <w:tcPr>
            <w:tcW w:w="2659" w:type="pct"/>
            <w:vAlign w:val="center"/>
          </w:tcPr>
          <w:p w14:paraId="5158F687">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功能根据《广州市卫生健康委关于转发&lt;加快推进国家传染病智能监测预警前置软件部署工作方案&gt;的通知》的需求</w:t>
            </w:r>
          </w:p>
        </w:tc>
      </w:tr>
      <w:tr w14:paraId="7744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47" w:type="pct"/>
            <w:vAlign w:val="center"/>
          </w:tcPr>
          <w:p w14:paraId="3557F6B0">
            <w:pPr>
              <w:widowControl/>
              <w:spacing w:beforeLines="0" w:afterLines="0"/>
              <w:jc w:val="center"/>
              <w:rPr>
                <w:rFonts w:hint="default" w:ascii="仿宋_GB2312" w:hAnsi="黑体" w:eastAsia="仿宋_GB2312"/>
                <w:color w:val="auto"/>
                <w:kern w:val="0"/>
                <w:sz w:val="21"/>
                <w:lang w:val="en-US" w:eastAsia="zh-CN"/>
              </w:rPr>
            </w:pPr>
            <w:r>
              <w:rPr>
                <w:rFonts w:hint="eastAsia" w:ascii="仿宋_GB2312" w:hAnsi="黑体" w:eastAsia="仿宋_GB2312"/>
                <w:color w:val="auto"/>
                <w:kern w:val="0"/>
                <w:sz w:val="21"/>
                <w:lang w:val="en-US" w:eastAsia="zh-CN"/>
              </w:rPr>
              <w:t>14</w:t>
            </w:r>
          </w:p>
        </w:tc>
        <w:tc>
          <w:tcPr>
            <w:tcW w:w="1792" w:type="pct"/>
            <w:vAlign w:val="center"/>
          </w:tcPr>
          <w:p w14:paraId="12696B6A">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呼气试验测试仪对接</w:t>
            </w:r>
          </w:p>
        </w:tc>
        <w:tc>
          <w:tcPr>
            <w:tcW w:w="2659" w:type="pct"/>
            <w:vAlign w:val="center"/>
          </w:tcPr>
          <w:p w14:paraId="4AF1306C">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功能根据《呼气试验测试仪接口》的需求</w:t>
            </w:r>
          </w:p>
        </w:tc>
      </w:tr>
      <w:tr w14:paraId="51973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47" w:type="pct"/>
            <w:vAlign w:val="center"/>
          </w:tcPr>
          <w:p w14:paraId="33B1C6F5">
            <w:pPr>
              <w:widowControl/>
              <w:spacing w:beforeLines="0" w:afterLines="0"/>
              <w:jc w:val="center"/>
              <w:rPr>
                <w:rFonts w:hint="default" w:ascii="仿宋_GB2312" w:hAnsi="黑体" w:eastAsia="仿宋_GB2312"/>
                <w:color w:val="auto"/>
                <w:kern w:val="0"/>
                <w:sz w:val="21"/>
                <w:lang w:val="en-US" w:eastAsia="zh-CN"/>
              </w:rPr>
            </w:pPr>
            <w:r>
              <w:rPr>
                <w:rFonts w:hint="eastAsia" w:ascii="仿宋_GB2312" w:hAnsi="黑体" w:eastAsia="仿宋_GB2312"/>
                <w:color w:val="auto"/>
                <w:kern w:val="0"/>
                <w:sz w:val="21"/>
                <w:lang w:val="en-US" w:eastAsia="zh-CN"/>
              </w:rPr>
              <w:t>15</w:t>
            </w:r>
          </w:p>
        </w:tc>
        <w:tc>
          <w:tcPr>
            <w:tcW w:w="1792" w:type="pct"/>
            <w:vAlign w:val="center"/>
          </w:tcPr>
          <w:p w14:paraId="622DD27A">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门急诊诊疗信息页</w:t>
            </w:r>
          </w:p>
        </w:tc>
        <w:tc>
          <w:tcPr>
            <w:tcW w:w="2659" w:type="pct"/>
            <w:vAlign w:val="center"/>
          </w:tcPr>
          <w:p w14:paraId="2AC31CBC">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根据《国家卫生健康委医政司开展门（急）诊诊疗信息数据报告有关工作的通知》的需求</w:t>
            </w:r>
          </w:p>
        </w:tc>
      </w:tr>
      <w:tr w14:paraId="1EB7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47" w:type="pct"/>
            <w:vAlign w:val="center"/>
          </w:tcPr>
          <w:p w14:paraId="19FFED6F">
            <w:pPr>
              <w:widowControl/>
              <w:spacing w:beforeLines="0" w:afterLines="0"/>
              <w:jc w:val="center"/>
              <w:rPr>
                <w:rFonts w:hint="default" w:ascii="仿宋_GB2312" w:hAnsi="黑体" w:eastAsia="仿宋_GB2312" w:cs="Times New Roman"/>
                <w:color w:val="auto"/>
                <w:kern w:val="0"/>
                <w:sz w:val="21"/>
                <w:szCs w:val="24"/>
                <w:lang w:val="en-US" w:eastAsia="zh-CN" w:bidi="ar-SA"/>
              </w:rPr>
            </w:pPr>
            <w:r>
              <w:rPr>
                <w:rFonts w:hint="eastAsia" w:ascii="仿宋_GB2312" w:hAnsi="黑体" w:eastAsia="仿宋_GB2312" w:cs="Times New Roman"/>
                <w:color w:val="auto"/>
                <w:kern w:val="0"/>
                <w:sz w:val="21"/>
                <w:szCs w:val="24"/>
                <w:lang w:val="en-US" w:eastAsia="zh-CN" w:bidi="ar-SA"/>
              </w:rPr>
              <w:t>16</w:t>
            </w:r>
          </w:p>
        </w:tc>
        <w:tc>
          <w:tcPr>
            <w:tcW w:w="1792" w:type="pct"/>
            <w:vAlign w:val="center"/>
          </w:tcPr>
          <w:p w14:paraId="08EE55F3">
            <w:pPr>
              <w:widowControl/>
              <w:spacing w:beforeLines="0" w:afterLines="0"/>
              <w:jc w:val="center"/>
              <w:rPr>
                <w:rFonts w:hint="default" w:ascii="仿宋_GB2312" w:hAnsi="黑体" w:eastAsia="仿宋_GB2312" w:cs="Times New Roman"/>
                <w:color w:val="auto"/>
                <w:kern w:val="0"/>
                <w:sz w:val="21"/>
                <w:szCs w:val="24"/>
                <w:lang w:val="en-US" w:eastAsia="zh-CN" w:bidi="ar-SA"/>
              </w:rPr>
            </w:pPr>
            <w:r>
              <w:rPr>
                <w:rFonts w:hint="eastAsia" w:ascii="仿宋_GB2312" w:hAnsi="黑体" w:eastAsia="仿宋_GB2312"/>
                <w:color w:val="auto"/>
                <w:kern w:val="0"/>
                <w:sz w:val="21"/>
              </w:rPr>
              <w:t>合同签订起一年内下达的其他医保政策文件</w:t>
            </w:r>
          </w:p>
        </w:tc>
        <w:tc>
          <w:tcPr>
            <w:tcW w:w="2659" w:type="pct"/>
            <w:vAlign w:val="center"/>
          </w:tcPr>
          <w:p w14:paraId="5F6D62AF">
            <w:pPr>
              <w:widowControl/>
              <w:spacing w:beforeLines="0" w:afterLines="0"/>
              <w:jc w:val="center"/>
              <w:rPr>
                <w:rFonts w:hint="eastAsia" w:ascii="仿宋_GB2312" w:hAnsi="仿宋_GB2312" w:eastAsia="仿宋_GB2312" w:cs="Times New Roman"/>
                <w:color w:val="auto"/>
                <w:kern w:val="2"/>
                <w:sz w:val="21"/>
                <w:szCs w:val="24"/>
                <w:lang w:val="en-US" w:eastAsia="zh-CN" w:bidi="ar-SA"/>
              </w:rPr>
            </w:pPr>
            <w:r>
              <w:rPr>
                <w:rFonts w:hint="default" w:ascii="仿宋_GB2312" w:hAnsi="仿宋_GB2312" w:eastAsia="仿宋_GB2312"/>
                <w:color w:val="auto"/>
                <w:sz w:val="21"/>
              </w:rPr>
              <w:t>功能根据下达的医保政策文件需求</w:t>
            </w:r>
          </w:p>
        </w:tc>
      </w:tr>
    </w:tbl>
    <w:p w14:paraId="3B51BCC5">
      <w:pPr>
        <w:adjustRightInd w:val="0"/>
        <w:spacing w:before="60" w:after="60" w:line="360" w:lineRule="auto"/>
        <w:textAlignment w:val="baseline"/>
        <w:rPr>
          <w:rFonts w:hint="default" w:ascii="Times New Roman" w:hAnsi="Times New Roman" w:cs="Times New Roman"/>
          <w:b w:val="0"/>
          <w:bCs w:val="0"/>
          <w:color w:val="auto"/>
          <w:kern w:val="0"/>
          <w:sz w:val="24"/>
          <w:szCs w:val="24"/>
          <w:highlight w:val="none"/>
          <w:lang w:val="en-US" w:eastAsia="zh-CN"/>
        </w:rPr>
      </w:pPr>
    </w:p>
    <w:p w14:paraId="47745D83">
      <w:pPr>
        <w:keepNext/>
        <w:keepLines/>
        <w:widowControl w:val="0"/>
        <w:numPr>
          <w:ilvl w:val="3"/>
          <w:numId w:val="1"/>
        </w:numPr>
        <w:adjustRightInd w:val="0"/>
        <w:spacing w:before="0" w:after="0" w:line="400" w:lineRule="exact"/>
        <w:ind w:left="0" w:firstLine="0"/>
        <w:jc w:val="both"/>
        <w:textAlignment w:val="baseline"/>
        <w:outlineLvl w:val="3"/>
        <w:rPr>
          <w:rFonts w:hint="eastAsia" w:ascii="黑体" w:hAnsi="黑体" w:eastAsia="黑体" w:cs="Times New Roman"/>
          <w:b w:val="0"/>
          <w:bCs w:val="0"/>
          <w:color w:val="auto"/>
          <w:sz w:val="24"/>
          <w:szCs w:val="24"/>
          <w:highlight w:val="none"/>
          <w:lang w:val="en-US" w:eastAsia="zh-CN" w:bidi="ar-SA"/>
        </w:rPr>
      </w:pPr>
      <w:bookmarkStart w:id="14" w:name="_Toc1493052102"/>
      <w:r>
        <w:rPr>
          <w:rFonts w:hint="eastAsia" w:ascii="黑体" w:hAnsi="黑体" w:eastAsia="黑体" w:cs="Times New Roman"/>
          <w:b w:val="0"/>
          <w:bCs w:val="0"/>
          <w:color w:val="auto"/>
          <w:sz w:val="24"/>
          <w:szCs w:val="24"/>
          <w:highlight w:val="none"/>
          <w:lang w:val="en-US" w:eastAsia="zh-CN" w:bidi="ar-SA"/>
        </w:rPr>
        <w:t>项目实施计划</w:t>
      </w:r>
      <w:bookmarkEnd w:id="14"/>
    </w:p>
    <w:p w14:paraId="5D77EDD1">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本项目建设工期：一年。</w:t>
      </w:r>
    </w:p>
    <w:p w14:paraId="35084FB7">
      <w:pPr>
        <w:keepNext/>
        <w:keepLines/>
        <w:widowControl w:val="0"/>
        <w:numPr>
          <w:ilvl w:val="4"/>
          <w:numId w:val="1"/>
        </w:numPr>
        <w:adjustRightInd w:val="0"/>
        <w:spacing w:before="180" w:after="180" w:line="360" w:lineRule="auto"/>
        <w:jc w:val="both"/>
        <w:textAlignment w:val="baseline"/>
        <w:outlineLvl w:val="4"/>
        <w:rPr>
          <w:rFonts w:ascii="Times New Roman" w:hAnsi="Times New Roman" w:eastAsia="宋体" w:cs="Times New Roman"/>
          <w:b w:val="0"/>
          <w:bCs w:val="0"/>
          <w:color w:val="auto"/>
          <w:sz w:val="24"/>
          <w:szCs w:val="28"/>
          <w:highlight w:val="none"/>
          <w:lang w:val="en-US" w:eastAsia="zh-CN" w:bidi="ar-SA"/>
        </w:rPr>
      </w:pPr>
      <w:bookmarkStart w:id="15" w:name="_Toc380263119"/>
      <w:r>
        <w:rPr>
          <w:rFonts w:hint="eastAsia" w:ascii="Times New Roman" w:hAnsi="Times New Roman" w:eastAsia="宋体" w:cs="Times New Roman"/>
          <w:b w:val="0"/>
          <w:bCs w:val="0"/>
          <w:color w:val="auto"/>
          <w:sz w:val="24"/>
          <w:szCs w:val="28"/>
          <w:highlight w:val="none"/>
          <w:lang w:val="en-US" w:eastAsia="zh-CN" w:bidi="ar-SA"/>
        </w:rPr>
        <w:t>实施阶段安排</w:t>
      </w:r>
      <w:bookmarkEnd w:id="15"/>
    </w:p>
    <w:p w14:paraId="1901C2F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实施阶段分为十个阶段四个里程碑，具体如下图：</w:t>
      </w:r>
    </w:p>
    <w:p w14:paraId="78ADDEBF">
      <w:pPr>
        <w:keepNext/>
        <w:adjustRightInd w:val="0"/>
        <w:spacing w:before="60" w:after="60" w:line="360" w:lineRule="auto"/>
        <w:ind w:firstLine="0" w:firstLineChars="0"/>
        <w:jc w:val="center"/>
        <w:textAlignment w:val="baseline"/>
        <w:rPr>
          <w:rFonts w:ascii="Times New Roman" w:hAnsi="Times New Roman" w:cs="Times New Roman"/>
          <w:b w:val="0"/>
          <w:bCs w:val="0"/>
          <w:color w:val="auto"/>
          <w:kern w:val="0"/>
          <w:sz w:val="24"/>
          <w:szCs w:val="20"/>
          <w:highlight w:val="none"/>
        </w:rPr>
      </w:pPr>
      <w:r>
        <w:rPr>
          <w:rFonts w:ascii="Times New Roman" w:hAnsi="Times New Roman" w:cs="Times New Roman"/>
          <w:b w:val="0"/>
          <w:bCs w:val="0"/>
          <w:color w:val="auto"/>
          <w:kern w:val="0"/>
          <w:sz w:val="24"/>
          <w:szCs w:val="20"/>
          <w:highlight w:val="none"/>
        </w:rPr>
        <w:drawing>
          <wp:inline distT="0" distB="0" distL="0" distR="0">
            <wp:extent cx="3371850" cy="41529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371850" cy="4152900"/>
                    </a:xfrm>
                    <a:prstGeom prst="rect">
                      <a:avLst/>
                    </a:prstGeom>
                    <a:noFill/>
                    <a:ln>
                      <a:noFill/>
                    </a:ln>
                  </pic:spPr>
                </pic:pic>
              </a:graphicData>
            </a:graphic>
          </wp:inline>
        </w:drawing>
      </w:r>
    </w:p>
    <w:p w14:paraId="37B5C196">
      <w:pPr>
        <w:spacing w:after="156"/>
        <w:ind w:left="403" w:firstLine="400"/>
        <w:jc w:val="center"/>
        <w:rPr>
          <w:rFonts w:ascii="Cambria" w:hAnsi="Cambria" w:eastAsia="黑体" w:cs="Times New Roman"/>
          <w:b w:val="0"/>
          <w:bCs w:val="0"/>
          <w:color w:val="auto"/>
          <w:sz w:val="20"/>
          <w:szCs w:val="21"/>
          <w:highlight w:val="none"/>
          <w:lang w:val="en-US" w:eastAsia="zh-CN" w:bidi="ar-SA"/>
        </w:rPr>
      </w:pPr>
      <w:r>
        <w:rPr>
          <w:rFonts w:hint="eastAsia" w:ascii="Cambria" w:hAnsi="Cambria" w:eastAsia="黑体" w:cs="Times New Roman"/>
          <w:b w:val="0"/>
          <w:bCs w:val="0"/>
          <w:color w:val="auto"/>
          <w:sz w:val="20"/>
          <w:szCs w:val="21"/>
          <w:highlight w:val="none"/>
          <w:lang w:val="en-US" w:eastAsia="zh-CN" w:bidi="ar-SA"/>
        </w:rPr>
        <w:t>图3.23实施阶段</w:t>
      </w:r>
    </w:p>
    <w:p w14:paraId="52CBE631">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四个里程碑分别是项目启动、上线评估、系统切换、项目完成。</w:t>
      </w:r>
    </w:p>
    <w:p w14:paraId="3950B832">
      <w:pPr>
        <w:adjustRightInd w:val="0"/>
        <w:spacing w:before="60" w:after="60" w:line="360" w:lineRule="auto"/>
        <w:textAlignment w:val="baseline"/>
        <w:rPr>
          <w:rFonts w:ascii="Times New Roman" w:hAnsi="Times New Roman" w:cs="Times New Roman"/>
          <w:b w:val="0"/>
          <w:bCs w:val="0"/>
          <w:color w:val="auto"/>
          <w:kern w:val="0"/>
          <w:sz w:val="24"/>
          <w:szCs w:val="20"/>
          <w:highlight w:val="none"/>
        </w:rPr>
      </w:pPr>
      <w:r>
        <w:rPr>
          <w:rFonts w:hint="eastAsia" w:ascii="Times New Roman" w:hAnsi="Times New Roman" w:cs="Times New Roman"/>
          <w:b w:val="0"/>
          <w:bCs w:val="0"/>
          <w:color w:val="auto"/>
          <w:kern w:val="0"/>
          <w:sz w:val="24"/>
          <w:szCs w:val="20"/>
          <w:highlight w:val="none"/>
        </w:rPr>
        <w:t>实施流程控制图如下：</w:t>
      </w:r>
    </w:p>
    <w:p w14:paraId="73ABFA08">
      <w:pPr>
        <w:keepNext/>
        <w:adjustRightInd w:val="0"/>
        <w:spacing w:before="60" w:after="60" w:line="360" w:lineRule="auto"/>
        <w:ind w:firstLine="0" w:firstLineChars="0"/>
        <w:jc w:val="center"/>
        <w:textAlignment w:val="baseline"/>
        <w:rPr>
          <w:rFonts w:ascii="Times New Roman" w:hAnsi="Times New Roman" w:cs="Times New Roman"/>
          <w:b w:val="0"/>
          <w:bCs w:val="0"/>
          <w:color w:val="auto"/>
          <w:kern w:val="0"/>
          <w:sz w:val="24"/>
          <w:szCs w:val="20"/>
          <w:highlight w:val="none"/>
        </w:rPr>
      </w:pPr>
      <w:r>
        <w:rPr>
          <w:rFonts w:ascii="Times New Roman" w:hAnsi="Times New Roman" w:cs="Times New Roman"/>
          <w:b w:val="0"/>
          <w:bCs w:val="0"/>
          <w:color w:val="auto"/>
          <w:kern w:val="0"/>
          <w:sz w:val="24"/>
          <w:szCs w:val="20"/>
          <w:highlight w:val="none"/>
        </w:rPr>
        <w:drawing>
          <wp:inline distT="0" distB="0" distL="0" distR="0">
            <wp:extent cx="5219700" cy="152400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19700" cy="1524000"/>
                    </a:xfrm>
                    <a:prstGeom prst="rect">
                      <a:avLst/>
                    </a:prstGeom>
                    <a:noFill/>
                    <a:ln>
                      <a:noFill/>
                    </a:ln>
                  </pic:spPr>
                </pic:pic>
              </a:graphicData>
            </a:graphic>
          </wp:inline>
        </w:drawing>
      </w:r>
    </w:p>
    <w:p w14:paraId="2427D47B">
      <w:pPr>
        <w:spacing w:after="156"/>
        <w:ind w:left="403" w:firstLine="400"/>
        <w:jc w:val="center"/>
        <w:rPr>
          <w:rFonts w:ascii="Cambria" w:hAnsi="Cambria" w:eastAsia="黑体" w:cs="Times New Roman"/>
          <w:b w:val="0"/>
          <w:bCs w:val="0"/>
          <w:color w:val="auto"/>
          <w:sz w:val="20"/>
          <w:szCs w:val="21"/>
          <w:highlight w:val="none"/>
          <w:lang w:val="en-US" w:eastAsia="zh-CN" w:bidi="ar-SA"/>
        </w:rPr>
      </w:pPr>
      <w:r>
        <w:rPr>
          <w:rFonts w:hint="eastAsia" w:ascii="Cambria" w:hAnsi="Cambria" w:eastAsia="黑体" w:cs="Times New Roman"/>
          <w:b w:val="0"/>
          <w:bCs w:val="0"/>
          <w:color w:val="auto"/>
          <w:sz w:val="20"/>
          <w:szCs w:val="21"/>
          <w:highlight w:val="none"/>
          <w:lang w:val="en-US" w:eastAsia="zh-CN" w:bidi="ar-SA"/>
        </w:rPr>
        <w:t>图3.24实施流程控制图</w:t>
      </w:r>
    </w:p>
    <w:p w14:paraId="30144F2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textAlignment w:val="baseline"/>
        <w:rPr>
          <w:rFonts w:hint="default"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如上图，项目实施一共分为五个阶段。</w:t>
      </w:r>
    </w:p>
    <w:p w14:paraId="79A14DD6">
      <w:pPr>
        <w:keepNext/>
        <w:keepLines/>
        <w:widowControl w:val="0"/>
        <w:numPr>
          <w:ilvl w:val="2"/>
          <w:numId w:val="1"/>
        </w:numPr>
        <w:adjustRightInd w:val="0"/>
        <w:spacing w:before="180" w:after="180" w:line="400" w:lineRule="exact"/>
        <w:jc w:val="both"/>
        <w:textAlignment w:val="baseline"/>
        <w:outlineLvl w:val="2"/>
        <w:rPr>
          <w:rFonts w:hint="default" w:ascii="黑体" w:hAnsi="黑体" w:eastAsia="黑体" w:cs="Times New Roman"/>
          <w:b w:val="0"/>
          <w:bCs w:val="0"/>
          <w:color w:val="auto"/>
          <w:sz w:val="24"/>
          <w:szCs w:val="24"/>
          <w:highlight w:val="none"/>
          <w:lang w:val="en-US" w:eastAsia="zh-CN" w:bidi="ar-SA"/>
        </w:rPr>
      </w:pPr>
      <w:bookmarkStart w:id="16" w:name="_Toc170907561"/>
      <w:bookmarkStart w:id="17" w:name="_Toc28522"/>
      <w:r>
        <w:rPr>
          <w:rFonts w:hint="eastAsia" w:ascii="黑体" w:hAnsi="黑体" w:eastAsia="黑体" w:cs="Times New Roman"/>
          <w:b w:val="0"/>
          <w:bCs w:val="0"/>
          <w:color w:val="auto"/>
          <w:sz w:val="24"/>
          <w:szCs w:val="24"/>
          <w:highlight w:val="none"/>
          <w:lang w:val="en-US" w:eastAsia="zh-CN" w:bidi="ar-SA"/>
        </w:rPr>
        <w:t>软件开发服务</w:t>
      </w:r>
      <w:bookmarkEnd w:id="16"/>
      <w:bookmarkEnd w:id="17"/>
    </w:p>
    <w:p w14:paraId="6E048749">
      <w:pPr>
        <w:keepNext/>
        <w:keepLines/>
        <w:widowControl w:val="0"/>
        <w:numPr>
          <w:ilvl w:val="3"/>
          <w:numId w:val="1"/>
        </w:numPr>
        <w:adjustRightInd w:val="0"/>
        <w:spacing w:before="0" w:after="0" w:line="400" w:lineRule="exact"/>
        <w:ind w:left="0" w:firstLine="0"/>
        <w:jc w:val="both"/>
        <w:textAlignment w:val="baseline"/>
        <w:outlineLvl w:val="3"/>
        <w:rPr>
          <w:rFonts w:hint="default" w:ascii="黑体" w:hAnsi="黑体" w:eastAsia="黑体" w:cs="黑体"/>
          <w:b w:val="0"/>
          <w:bCs w:val="0"/>
          <w:color w:val="auto"/>
          <w:sz w:val="24"/>
          <w:szCs w:val="30"/>
          <w:highlight w:val="none"/>
          <w:lang w:val="en-US" w:eastAsia="zh-CN" w:bidi="ar-SA"/>
        </w:rPr>
      </w:pPr>
      <w:bookmarkStart w:id="18" w:name="_Toc1257741688"/>
      <w:r>
        <w:rPr>
          <w:rFonts w:hint="default" w:ascii="黑体" w:hAnsi="黑体" w:eastAsia="黑体" w:cs="黑体"/>
          <w:b w:val="0"/>
          <w:bCs w:val="0"/>
          <w:color w:val="auto"/>
          <w:sz w:val="24"/>
          <w:szCs w:val="30"/>
          <w:highlight w:val="none"/>
          <w:lang w:val="en-US" w:eastAsia="zh-CN" w:bidi="ar-SA"/>
        </w:rPr>
        <w:t>定制软件开发</w:t>
      </w:r>
      <w:bookmarkEnd w:id="18"/>
    </w:p>
    <w:p w14:paraId="424E6C28">
      <w:pPr>
        <w:keepNext w:val="0"/>
        <w:keepLines w:val="0"/>
        <w:pageBreakBefore w:val="0"/>
        <w:widowControl w:val="0"/>
        <w:kinsoku/>
        <w:wordWrap/>
        <w:overflowPunct/>
        <w:topLinePunct w:val="0"/>
        <w:autoSpaceDE/>
        <w:autoSpaceDN/>
        <w:bidi w:val="0"/>
        <w:adjustRightInd w:val="0"/>
        <w:snapToGrid/>
        <w:spacing w:line="240" w:lineRule="auto"/>
        <w:ind w:right="0" w:rightChars="0"/>
        <w:jc w:val="center"/>
        <w:textAlignment w:val="baseline"/>
        <w:rPr>
          <w:rFonts w:hint="default" w:ascii="Times New Roman" w:hAnsi="Times New Roman" w:cs="Times New Roman"/>
          <w:color w:val="auto"/>
          <w:kern w:val="0"/>
          <w:sz w:val="24"/>
          <w:szCs w:val="20"/>
          <w:lang w:val="en-US" w:eastAsia="zh-CN"/>
        </w:rPr>
      </w:pPr>
      <w:r>
        <w:rPr>
          <w:rFonts w:hint="eastAsia" w:ascii="仿宋_GB2312" w:hAnsi="仿宋_GB2312" w:eastAsia="仿宋_GB2312" w:cs="仿宋_GB2312"/>
          <w:b w:val="0"/>
          <w:bCs w:val="0"/>
          <w:color w:val="auto"/>
          <w:kern w:val="0"/>
          <w:sz w:val="24"/>
          <w:szCs w:val="20"/>
          <w:highlight w:val="none"/>
        </w:rPr>
        <w:t>表</w:t>
      </w:r>
      <w:r>
        <w:rPr>
          <w:rFonts w:hint="eastAsia" w:ascii="仿宋_GB2312" w:hAnsi="仿宋_GB2312" w:eastAsia="仿宋_GB2312" w:cs="仿宋_GB2312"/>
          <w:b w:val="0"/>
          <w:bCs w:val="0"/>
          <w:color w:val="auto"/>
          <w:kern w:val="0"/>
          <w:sz w:val="24"/>
          <w:szCs w:val="20"/>
          <w:highlight w:val="none"/>
          <w:lang w:val="en-US" w:eastAsia="zh-CN"/>
        </w:rPr>
        <w:t xml:space="preserve">6 </w:t>
      </w:r>
      <w:r>
        <w:rPr>
          <w:rFonts w:hint="default" w:ascii="Times New Roman" w:hAnsi="Times New Roman" w:cs="Times New Roman"/>
          <w:b w:val="0"/>
          <w:bCs w:val="0"/>
          <w:color w:val="auto"/>
          <w:kern w:val="0"/>
          <w:sz w:val="24"/>
          <w:szCs w:val="20"/>
          <w:highlight w:val="none"/>
          <w:lang w:val="en-US" w:eastAsia="zh-CN"/>
        </w:rPr>
        <w:t>定制软件开发服务测算表</w:t>
      </w:r>
    </w:p>
    <w:tbl>
      <w:tblPr>
        <w:tblStyle w:val="4"/>
        <w:tblpPr w:leftFromText="180" w:rightFromText="180" w:vertAnchor="text" w:horzAnchor="page" w:tblpX="1548" w:tblpY="523"/>
        <w:tblOverlap w:val="never"/>
        <w:tblW w:w="86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7"/>
        <w:gridCol w:w="2304"/>
        <w:gridCol w:w="5380"/>
      </w:tblGrid>
      <w:tr w14:paraId="007C9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9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CAF0B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序号</w:t>
            </w:r>
          </w:p>
        </w:tc>
        <w:tc>
          <w:tcPr>
            <w:tcW w:w="23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2A780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工作内容</w:t>
            </w:r>
          </w:p>
        </w:tc>
        <w:tc>
          <w:tcPr>
            <w:tcW w:w="53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5CAD5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开发需求说明</w:t>
            </w:r>
          </w:p>
        </w:tc>
      </w:tr>
      <w:tr w14:paraId="19669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B53E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23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98CA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c>
          <w:tcPr>
            <w:tcW w:w="5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7125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p>
        </w:tc>
      </w:tr>
      <w:tr w14:paraId="6154E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2"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EFD2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42F0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无感支付功能</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2FB9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根据《广州市医疗保险服务中心关于推进就医信用无感支付开展医保医疗费用结算业务的通知》开发</w:t>
            </w:r>
          </w:p>
        </w:tc>
      </w:tr>
      <w:tr w14:paraId="23C7F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7F7C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E8C0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88F1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流程：签约就医信用无感支付服务—在医疗机构公众号/小程序线上挂号，确认本次就诊启用该功能—正常就诊后享受就医信用无感支付服务—取药、治疗—离院—待账单还款日前还款（使用信用额度支付）。</w:t>
            </w:r>
          </w:p>
          <w:p w14:paraId="103CB26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住院流程：签约就医信用无感支付服务—办理入院登记时，确认本次就诊启用该功能—医院收费系统自动收取住院押金—住院—治疗—结算享受就医信用无感支付服务（住院押金多退少补，如需退还部分押金，资金原路返回；如需补缴费用，医保系统自动发起住院费用补缴，从参保人账户中扣除应缴费用）—离院—待账单还款日前还款（使用信用额度支付）。</w:t>
            </w:r>
          </w:p>
        </w:tc>
      </w:tr>
      <w:tr w14:paraId="40506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5654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AF88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77B9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流程：签约就医信用无感支付服务—在医疗机构公众号/小程序线上挂号，确认本次就诊启用该功能—正常就诊后享受就医信用无感支付服务—取药、治疗—离院—待账单还款日前还款（使用信用额度支付）。</w:t>
            </w:r>
          </w:p>
          <w:p w14:paraId="65F3545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二）住院流程：签约就医信用无感支付服务—办理入院登记时，确认本次就诊启用该功能—医院收费系统自动收取住院押金—住院—治疗—结算享受就医信用无感支付服务（住院押金多退少补，如需退还部分押金，资金原路返回；如需补缴费用，医保系统自动发起住院费用补缴，从参保人账户中扣除应缴费用）—离院—待账单还款日前还款（使用信用额度支付）。</w:t>
            </w:r>
          </w:p>
        </w:tc>
      </w:tr>
      <w:tr w14:paraId="156B7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2E44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A265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门诊流程—挂号接口开发</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E1D4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流程：签约就医信用无感支付服务—在医疗机构公众号/小程序线上挂号，确认本次就诊启用该功能—正常就诊后享受就医信用无感支付服务—取药、治疗—离院—待账单还款日前还款（使用信用额度支付）。</w:t>
            </w:r>
          </w:p>
        </w:tc>
      </w:tr>
      <w:tr w14:paraId="03A44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D4E1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575C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门诊流程—取药接口开发</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08E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流程：签约就医信用无感支付服务—在医疗机构公众号/小程序线上挂号，确认本次就诊启用该功能—正常就诊后享受就医信用无感支付服务—取药、治疗—离院—待账单还款日前还款（使用信用额度支付）。</w:t>
            </w:r>
          </w:p>
        </w:tc>
      </w:tr>
      <w:tr w14:paraId="6EDAD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64C5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FC20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门诊流程—治疗接口开发</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B496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流程：签约就医信用无感支付服务—在医疗机构公众号/小程序线上挂号，确认本次就诊启用该功能—正常就诊后享受就医信用无感支付服务—取药、治疗—离院—待账单还款日前还款（使用信用额度支付）。</w:t>
            </w:r>
          </w:p>
        </w:tc>
      </w:tr>
      <w:tr w14:paraId="22056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A4DE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1.6</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4FCE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门诊流程—离院接口开发</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5AC1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流程：签约就医信用无感支付服务—在医疗机构公众号/小程序线上挂号，确认本次就诊启用该功能—正常就诊后享受就医信用无感支付服务—取药、治疗—离院—待账单还款日前还款（使用信用额度支付）。</w:t>
            </w:r>
          </w:p>
        </w:tc>
      </w:tr>
      <w:tr w14:paraId="73517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158D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1.7</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E5B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门诊流程—待账单接口开发</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7FA3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流程：签约就医信用无感支付服务—在医疗机构公众号/小程序线上挂号，确认本次就诊启用该功能—正常就诊后享受就医信用无感支付服务—取药、治疗—离院—待账单还款日前还款（使用信用额度支付）。</w:t>
            </w:r>
          </w:p>
        </w:tc>
      </w:tr>
      <w:tr w14:paraId="2C772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ADD1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1.8</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9217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住院流程—入院登记接口开发</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D75C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住院流程：签约就医信用无感支付服务—办理入院登记时，确认本次就诊启用该功能—医院收费系统自动收取住院押金—住院—治疗—结算享受就医信用无感支付服务（住院押金多退少补，如需退还部分押金，资金原路返回；如需补缴费用，医保系统自动发起住院费用补缴，从参保人账户中扣除应缴费用）—离院—待账单还款日前还款（使用信用额度支付）。</w:t>
            </w:r>
          </w:p>
        </w:tc>
      </w:tr>
      <w:tr w14:paraId="1D02C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7AA7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1.9</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EB22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住院流程—收费系统接口开发</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9FD6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住院流程：签约就医信用无感支付服务—办理入院登记时，确认本次就诊启用该功能—医院收费系统自动收取住院押金—住院—治疗—结算享受就医信用无感支付服务（住院押金多退少补，如需退还部分押金，资金原路返回；如需补缴费用，医保系统自动发起住院费用补缴，从参保人账户中扣除应缴费用）—离院—待账单还款日前还款（使用信用额度支付）。</w:t>
            </w:r>
          </w:p>
        </w:tc>
      </w:tr>
      <w:tr w14:paraId="74162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3AF5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xml:space="preserve">1.10 </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9457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住院流程—治疗接口开发</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52E1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住院流程：签约就医信用无感支付服务—办理入院登记时，确认本次就诊启用该功能—医院收费系统自动收取住院押金—住院—治疗—结算享受就医信用无感支付服务（住院押金多退少补，如需退还部分押金，资金原路返回；如需补缴费用，医保系统自动发起住院费用补缴，从参保人账户中扣除应缴费用）—离院—待账单还款日前还款（使用信用额度支付）。</w:t>
            </w:r>
          </w:p>
        </w:tc>
      </w:tr>
      <w:tr w14:paraId="59407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43BB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xml:space="preserve">1.11 </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6D56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住院流程—结算系统接口开发</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57EB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住院流程：签约就医信用无感支付服务—办理入院登记时，确认本次就诊启用该功能—医院收费系统自动收取住院押金—住院—治疗—结算享受就医信用无感支付服务（住院押金多退少补，如需退还部分押金，资金原路返回；如需补缴费用，医保系统自动发起住院费用补缴，从参保人账户中扣除应缴费用）—离院—待账单还款日前还款（使用信用额度支付）。</w:t>
            </w:r>
          </w:p>
        </w:tc>
      </w:tr>
      <w:tr w14:paraId="05678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0366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xml:space="preserve">1.12 </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A9BD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系统内部测试、修改</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AD9E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门诊流程和住院流程测试</w:t>
            </w:r>
          </w:p>
        </w:tc>
      </w:tr>
      <w:tr w14:paraId="49C32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852F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1.13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6F52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第三方联调测试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542E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门诊流程和住院流程联调测试</w:t>
            </w:r>
          </w:p>
        </w:tc>
      </w:tr>
      <w:tr w14:paraId="7FA3A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28CD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1.14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6871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6ED2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改造后门诊流程和住院流程上线</w:t>
            </w:r>
          </w:p>
        </w:tc>
      </w:tr>
      <w:tr w14:paraId="10015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9DF9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FD85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新生儿医疗费用医保结算服务对接功能</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23BD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根据《广州市医疗保险服务中心关于进一步做好新生儿医疗费用医保结算服务的通知》开发</w:t>
            </w:r>
          </w:p>
        </w:tc>
      </w:tr>
      <w:tr w14:paraId="2CE62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9CCB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A6B8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D2EF3">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新生儿医疗保险凭证，在本市及省内其他统筹区完成城乡居民参保登记的新生儿在参保信息变更前，可使用出生医学证明作为其医疗保险凭证。新生儿依据《居民户口簿》完成参保信息变更后，按规定使用医保电子凭证、社会保障卡、居民身份证或《居民户口簿》等作为医疗保险凭证。</w:t>
            </w:r>
          </w:p>
        </w:tc>
      </w:tr>
      <w:tr w14:paraId="3D5F1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BCFC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0CD6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042E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新生儿医疗保险凭证，在本市及省内其他统筹区完成城乡居民参保登记的新生儿在参保信息变更前，可使用出生医学证明作为其医疗保险凭证。新生儿依据《居民户口簿》完成参保信息变更后，按规定使用医保电子凭证、社会保障卡、居民身份证或《居民户口簿》等作为医疗保险凭证。</w:t>
            </w:r>
          </w:p>
        </w:tc>
      </w:tr>
      <w:tr w14:paraId="059CD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6407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C573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挂号接口开发</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53B5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（一）在本市参保的新生儿</w:t>
            </w:r>
          </w:p>
          <w:p w14:paraId="0A0800A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门诊就医</w:t>
            </w:r>
          </w:p>
          <w:p w14:paraId="3DE02E79">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医疗机构工作人员通过“就医管理-门急诊管理”模块，为新生儿直接办理门诊就医登记，其中登记证件类型选择“出生医学证明”，证件号码输入出生医学证明编号。</w:t>
            </w:r>
          </w:p>
          <w:p w14:paraId="5B55F16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住院就医</w:t>
            </w:r>
          </w:p>
          <w:p w14:paraId="52D1A9E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机构工作人员先通过医保信息平台“定点机构端-特殊业务办理-特殊业务申请-无卡凭证就医管理”模块，录入新生儿的出生医学证明编码，获取参保人信息后，通过“就医管理-住院管理”模块，为其直接办理住院就医登记，登记证件类型选择“出生医学证明”，证件号码输入出生医学证明编码。</w:t>
            </w:r>
          </w:p>
          <w:p w14:paraId="5804FA7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在省内其他统筹区参保的新生儿</w:t>
            </w:r>
          </w:p>
          <w:p w14:paraId="7BEBFB47">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医疗机构工作人员通过“就医管理-门急诊管理（异地）、住院管理（异地）”模块，为新生儿直接办理门诊或住院就医登记，登记证件类型选择“出生医学证明”，证件号码输入出生医学证明编号。</w:t>
            </w:r>
          </w:p>
        </w:tc>
      </w:tr>
      <w:tr w14:paraId="43C03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BB53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0308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就诊凭证类型接口开发</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867D9">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（一）在本市参保的新生儿</w:t>
            </w:r>
          </w:p>
          <w:p w14:paraId="2353E82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门诊就医</w:t>
            </w:r>
          </w:p>
          <w:p w14:paraId="537C83AB">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医疗机构工作人员通过“就医管理-门急诊管理”模块，为新生儿直接办理门诊就医登记，其中登记证件类型选择“出生医学证明”，证件号码输入出生医学证明编号。</w:t>
            </w:r>
          </w:p>
          <w:p w14:paraId="29312539">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住院就医</w:t>
            </w:r>
          </w:p>
          <w:p w14:paraId="22096F3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机构工作人员先通过医保信息平台“定点机构端-特殊业务办理-特殊业务申请-无卡凭证就医管理”模块，录入新生儿的出生医学证明编码，获取参保人信息后，通过“就医管理-住院管理”模块，为其直接办理住院就医登记，登记证件类型选择“出生医学证明”，证件号码输入出生医学证明编码。</w:t>
            </w:r>
          </w:p>
          <w:p w14:paraId="2A97F0F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在省内其他统筹区参保的新生儿</w:t>
            </w:r>
          </w:p>
          <w:p w14:paraId="45FF86B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医疗机构工作人员通过“就医管理-门急诊管理（异地）、住院管理（异地）”模块，为新生儿直接办理门诊或住院就医登记，登记证件类型选择“出生医学证明”，证件号码输入出生医学证明编号。</w:t>
            </w:r>
          </w:p>
        </w:tc>
      </w:tr>
      <w:tr w14:paraId="7E69F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3502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CA2C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就诊凭证编号接口开发</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88748">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（一）在本市参保的新生儿</w:t>
            </w:r>
          </w:p>
          <w:p w14:paraId="2B9ECDA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门诊就医</w:t>
            </w:r>
          </w:p>
          <w:p w14:paraId="74ED3E90">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医疗机构工作人员通过“就医管理-门急诊管理”模块，为新生儿直接办理门诊就医登记，其中登记证件类型选择“出生医学证明”，证件号码输入出生医学证明编号。</w:t>
            </w:r>
          </w:p>
          <w:p w14:paraId="46187E1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住院就医</w:t>
            </w:r>
          </w:p>
          <w:p w14:paraId="17E7DE8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机构工作人员先通过医保信息平台“定点机构端-特殊业务办理-特殊业务申请-无卡凭证就医管理”模块，录入新生儿的出生医学证明编码，获取参保人信息后，通过“就医管理-住院管理”模块，为其直接办理住院就医登记，登记证件类型选择“出生医学证明”，证件号码输入出生医学证明编码。</w:t>
            </w:r>
          </w:p>
          <w:p w14:paraId="0FB8D50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在省内其他统筹区参保的新生儿</w:t>
            </w:r>
          </w:p>
          <w:p w14:paraId="7E9B4EF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医疗机构工作人员通过“就医管理-门急诊管理（异地）、住院管理（异地）”模块，为新生儿直接办理门诊或住院就医登记，登记证件类型选择“出生医学证明”，证件号码输入出生医学证明编号。</w:t>
            </w:r>
          </w:p>
        </w:tc>
      </w:tr>
      <w:tr w14:paraId="2A727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256C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2.6</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2DDD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人员证件类型接口开发</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C3116">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（一）在本市参保的新生儿</w:t>
            </w:r>
          </w:p>
          <w:p w14:paraId="09F71C1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门诊就医</w:t>
            </w:r>
          </w:p>
          <w:p w14:paraId="2B6A8940">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医疗机构工作人员通过“就医管理-门急诊管理”模块，为新生儿直接办理门诊就医登记，其中登记证件类型选择“出生医学证明”，证件号码输入出生医学证明编号。</w:t>
            </w:r>
          </w:p>
          <w:p w14:paraId="4C4B74A0">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住院就医</w:t>
            </w:r>
          </w:p>
          <w:p w14:paraId="4226522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机构工作人员先通过医保信息平台“定点机构端-特殊业务办理-特殊业务申请-无卡凭证就医管理”模块，录入新生儿的出生医学证明编码，获取参保人信息后，通过“就医管理-住院管理”模块，为其直接办理住院就医登记，登记证件类型选择“出生医学证明”，证件号码输入出生医学证明编码。</w:t>
            </w:r>
          </w:p>
          <w:p w14:paraId="15587D7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在省内其他统筹区参保的新生儿</w:t>
            </w:r>
          </w:p>
          <w:p w14:paraId="0497267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医疗机构工作人员通过“就医管理-门急诊管理（异地）、住院管理（异地）”模块，为新生儿直接办理门诊或住院就医登记，登记证件类型选择“出生医学证明”，证件号码输入出生医学证明编号。</w:t>
            </w:r>
          </w:p>
        </w:tc>
      </w:tr>
      <w:tr w14:paraId="4464B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50AC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2.7</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B2F5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人员证件号码接口开发</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E9058">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（一）在本市参保的新生儿</w:t>
            </w:r>
          </w:p>
          <w:p w14:paraId="0234052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门诊就医</w:t>
            </w:r>
          </w:p>
          <w:p w14:paraId="792572BE">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医疗机构工作人员通过“就医管理-门急诊管理”模块，为新生儿直接办理门诊就医登记，其中登记证件类型选择“出生医学证明”，证件号码输入出生医学证明编号。</w:t>
            </w:r>
          </w:p>
          <w:p w14:paraId="3133A8B1">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住院就医</w:t>
            </w:r>
          </w:p>
          <w:p w14:paraId="541EB56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机构工作人员先通过医保信息平台“定点机构端-特殊业务办理-特殊业务申请-无卡凭证就医管理”模块，录入新生儿的出生医学证明编码，获取参保人信息后，通过“就医管理-住院管理”模块，为其直接办理住院就医登记，登记证件类型选择“出生医学证明”，证件号码输入出生医学证明编码。</w:t>
            </w:r>
          </w:p>
          <w:p w14:paraId="7684956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在省内其他统筹区参保的新生儿</w:t>
            </w:r>
          </w:p>
          <w:p w14:paraId="25CEAEE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医疗机构工作人员通过“就医管理-门急诊管理（异地）、住院管理（异地）”模块，为新生儿直接办理门诊或住院就医登记，登记证件类型选择“出生医学证明”，证件号码输入出生医学证明编号。</w:t>
            </w:r>
          </w:p>
        </w:tc>
      </w:tr>
      <w:tr w14:paraId="2CF69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C3F4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2.8</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F8D8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系统内部测试、修改</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B1618">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门诊就医和住院就医流程改造测试</w:t>
            </w:r>
          </w:p>
        </w:tc>
      </w:tr>
      <w:tr w14:paraId="556E7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F74B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2.9</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AF91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第三方联调测试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B225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门诊就医和住院就医流程改造联调测试</w:t>
            </w:r>
          </w:p>
        </w:tc>
      </w:tr>
      <w:tr w14:paraId="62B43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231B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xml:space="preserve">2.10 </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05B6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8B9F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新的门诊就医和住院就医流程上线</w:t>
            </w:r>
          </w:p>
        </w:tc>
      </w:tr>
      <w:tr w14:paraId="1CE6F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B7F9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C4D5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医疗收费电子结算凭证应用功能</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CDB3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根据《广州市医疗保险服务中心关于进一步深入开展医疗收费电子结算凭证应用的通知》开发</w:t>
            </w:r>
          </w:p>
        </w:tc>
      </w:tr>
      <w:tr w14:paraId="1656E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4503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F5E7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B33C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定点医疗机构接入包括测试接入、对接开发、测试联调、测试报告提交、正式上线等环节调研。</w:t>
            </w:r>
          </w:p>
        </w:tc>
      </w:tr>
      <w:tr w14:paraId="3211D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7900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F8E0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690C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定点医疗机构接入包括测试接入、对接开发、测试联调、测试报告提交、正式上线等环节设计。</w:t>
            </w:r>
          </w:p>
        </w:tc>
      </w:tr>
      <w:tr w14:paraId="348D3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63A7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D11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数据类型定义</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D3A4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定点医疗机构接入包括测试接入、对接开发、测试联调、测试报告提交、正式上线等环节数据类型定义。</w:t>
            </w:r>
          </w:p>
        </w:tc>
      </w:tr>
      <w:tr w14:paraId="33556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2540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E66B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上传电子结算凭证接口改造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D596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定点医疗机构将开具成功的电子结算凭证版式文件和结算数据关联关系上传到医疗电子结算凭证中心。</w:t>
            </w:r>
          </w:p>
        </w:tc>
      </w:tr>
      <w:tr w14:paraId="6D44A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317E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F36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查询电子凭证上传结果接口改造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44C6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定点医疗机构调用医疗机构上传电子结算凭证之后，通过此交易查询电子结算凭证上传结果。需封装成两定接口。</w:t>
            </w:r>
          </w:p>
        </w:tc>
      </w:tr>
      <w:tr w14:paraId="075EC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0ECA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3.6</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CF08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重传电子结算凭证接口改造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6856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xml:space="preserve">定点医疗机构如果之前上传的电子结算凭证信息有误，需通过此接口上传正确的电子结算凭证信息。 </w:t>
            </w:r>
          </w:p>
        </w:tc>
      </w:tr>
      <w:tr w14:paraId="209EC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7623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3.7</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B7A7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查询电子结算凭证状态接口改造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2A9A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定点医疗机构在办理全自费结算医疗收费电子结算凭证退费前，需查询电子结算凭证的报销状态信息。需封装成两定接口。</w:t>
            </w:r>
          </w:p>
        </w:tc>
      </w:tr>
      <w:tr w14:paraId="54111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5BA5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3.8</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BD01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电子结算凭证相关结构化数据规范调整优化</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A794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定点医疗机构在办理全自费结算医疗收费电子结算凭证退费前，需查询电子结算凭证的报销状态信息。需封装成两定接口。</w:t>
            </w:r>
          </w:p>
        </w:tc>
      </w:tr>
      <w:tr w14:paraId="75295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CDA0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3.9</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B1A9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F39AB">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电子结算凭证对接联调</w:t>
            </w:r>
          </w:p>
        </w:tc>
      </w:tr>
      <w:tr w14:paraId="66231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D23F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xml:space="preserve">3.10 </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6B58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62CE0">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电子凭证对接上线</w:t>
            </w:r>
          </w:p>
        </w:tc>
      </w:tr>
      <w:tr w14:paraId="13D42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3D16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4F49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定点医疗机构医保药品追溯码信息采集对接功能</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4AC7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根据《广州市医疗保险服务中心关于开展定点医疗机构医保药品追溯码信息采集试点工作的通知》开发</w:t>
            </w:r>
          </w:p>
        </w:tc>
      </w:tr>
      <w:tr w14:paraId="40FDB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A928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4.1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7BF6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029DA">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国家要求采集的药品追溯信息主要包括药品追溯码值、定点医药机构编码、医保目录编码等信息，模式一还应包含人员编号、结算ID、就诊ID等信息，通过就诊ID可以关联到就医时间、诊断、费用明细等信息调研。</w:t>
            </w:r>
          </w:p>
        </w:tc>
      </w:tr>
      <w:tr w14:paraId="0A784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6801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4.2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F487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E930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国家要求采集的药品追溯信息主要包括药品追溯码值、定点医药机构编码、医保目录编码等信息，模式一还应包含人员编号、结算ID、就诊ID等信息，通过就诊ID可以关联到就医时间、诊断、费用明细等信息分析设计。</w:t>
            </w:r>
          </w:p>
        </w:tc>
      </w:tr>
      <w:tr w14:paraId="29445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06F0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4.3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9E6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发药流程—商品销售接口改造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1D39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药品追溯码值、定点医药机构编码、医保目录编码等信息，模式一还应包含人员编号、结算ID、就诊ID等信息，通过就诊ID可以关联到就医时间、诊断、费用明细等信息</w:t>
            </w:r>
          </w:p>
        </w:tc>
      </w:tr>
      <w:tr w14:paraId="7F5CA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E61E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4.4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80B8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发药流程—商品销售退货接口改造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E3AB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药品追溯码值、定点医药机构编码、医保目录编码等信息，模式一还应包含人员编号、结算ID、就诊ID等信息，通过就诊ID可以关联到就医时间、诊断、费用明细等信息</w:t>
            </w:r>
          </w:p>
        </w:tc>
      </w:tr>
      <w:tr w14:paraId="63054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E21F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4.5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2332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第三方联调测试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52324">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接口联调</w:t>
            </w:r>
          </w:p>
        </w:tc>
      </w:tr>
      <w:tr w14:paraId="3585D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69A4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4.6</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7C58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BD05A">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系统上线</w:t>
            </w:r>
          </w:p>
        </w:tc>
      </w:tr>
      <w:tr w14:paraId="4B488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51EC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9121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门诊特定病种编码统一应用功能</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A02D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根据《广州市医疗保险服务中心关于做好门诊特定病种编码统一工作的通知》开发</w:t>
            </w:r>
          </w:p>
        </w:tc>
      </w:tr>
      <w:tr w14:paraId="3B7DB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069C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D158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1126E">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病种编码维护、API接口调整（通过接口办理门特申请、就医业务办理和双通道外配处方及门诊统筹外配处方业务等调研。</w:t>
            </w:r>
          </w:p>
        </w:tc>
      </w:tr>
      <w:tr w14:paraId="78985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8080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6333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3B3E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病种编码维护、API接口调整（通过接口办理门特申请、就医业务办理和双通道外配处方及门诊统筹外配处方业务等）分析设计。</w:t>
            </w:r>
          </w:p>
        </w:tc>
      </w:tr>
      <w:tr w14:paraId="2F75B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C407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9A52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人员慢特病备案接口改造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49396">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人员慢特病备案接口的门慢特病种目录代码改造。</w:t>
            </w:r>
          </w:p>
        </w:tc>
      </w:tr>
      <w:tr w14:paraId="7F410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0ADA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47F2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门诊就诊信息上传接口改造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309E1">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门就诊信息上传接口中的病种编码改造</w:t>
            </w:r>
          </w:p>
        </w:tc>
      </w:tr>
      <w:tr w14:paraId="2F2D9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7F66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1561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门诊单据式结算接口改造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94664">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门诊单据式结算接口病种编码改造</w:t>
            </w:r>
          </w:p>
        </w:tc>
      </w:tr>
      <w:tr w14:paraId="31EB7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BF97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5.6</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51DF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入院办理接口改造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138F2">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入院办理接口中的病种编码改造</w:t>
            </w:r>
          </w:p>
        </w:tc>
      </w:tr>
      <w:tr w14:paraId="20EA8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F961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5.7</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210A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入院信息变更接口改造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853B1">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入院办理接口中的病种编码改造</w:t>
            </w:r>
          </w:p>
        </w:tc>
      </w:tr>
      <w:tr w14:paraId="3E093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7579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5.8</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637A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电子处方上传预核验接口改造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9D75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电子处方上传预核验接口中的病种编码改造</w:t>
            </w:r>
          </w:p>
        </w:tc>
      </w:tr>
      <w:tr w14:paraId="26147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E214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xml:space="preserve">5.9 </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A2E5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第三方联调测试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AB145">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接口联调测试</w:t>
            </w:r>
          </w:p>
        </w:tc>
      </w:tr>
      <w:tr w14:paraId="0627C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5F06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xml:space="preserve">5.10 </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A7B1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E6698">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接口程序上线</w:t>
            </w:r>
          </w:p>
        </w:tc>
      </w:tr>
      <w:tr w14:paraId="1C7F6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48BC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6</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511D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医保电子凭证全流程应用接口改造功能</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A893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根据《广东省医疗保障局转发国家医保局办公室关于开展医保电子凭证全流程应用“走流程、找堵点”活动的通知》开发</w:t>
            </w:r>
          </w:p>
        </w:tc>
      </w:tr>
      <w:tr w14:paraId="61D2A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4635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6.1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D4A8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10F21">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排查在挂号、诊间身份核验、医保支付、取药、取报告等重点业务环节，以及人工窗口、自助机等服务场景，是否将不支持凭证使用或使用不便于的情况调研。</w:t>
            </w:r>
          </w:p>
        </w:tc>
      </w:tr>
      <w:tr w14:paraId="2DC13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4E16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6.2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F982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877CB">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排查在挂号、诊间身份核验、医保支付、取药、取报告等重点业务环节，以及人工窗口、自助机等服务场景，是否将不支持凭证使用或使用不便于的情况分析设计。</w:t>
            </w:r>
          </w:p>
        </w:tc>
      </w:tr>
      <w:tr w14:paraId="7AD61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B63F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6.3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E47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参保身份核验流程改造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CEBC6">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按标准完成信息系统改造并接入凭证，支持使用凭证办理相关业务。</w:t>
            </w:r>
          </w:p>
        </w:tc>
      </w:tr>
      <w:tr w14:paraId="57B30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C884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6.4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7D33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线上线下挂号就诊流程改造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B5621">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人工窗口、自助设备及所有身份核验的业务环节均支持凭证使用改造</w:t>
            </w:r>
          </w:p>
        </w:tc>
      </w:tr>
      <w:tr w14:paraId="79124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85B4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6.5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E6CB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线上医保移动支付改造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AAAB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线上支付检查费用后，线下直接扫码治疗等</w:t>
            </w:r>
          </w:p>
        </w:tc>
      </w:tr>
      <w:tr w14:paraId="6D110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ABF7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6.6</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6F88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自助系统流程改造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07F7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自助设备的流程改造升级</w:t>
            </w:r>
          </w:p>
        </w:tc>
      </w:tr>
      <w:tr w14:paraId="45313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C249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6.7</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A4D9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第三方联调测试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0DCB5">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改造流程联调</w:t>
            </w:r>
          </w:p>
        </w:tc>
      </w:tr>
      <w:tr w14:paraId="17BEA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16D5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6.8</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FD32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7B475">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改造流程上线</w:t>
            </w:r>
          </w:p>
        </w:tc>
      </w:tr>
      <w:tr w14:paraId="451B7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5FA0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7</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0353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国家医保谈判药品“双通道”接口改造功能</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7F8E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根据《广州市医疗保险服务中心关于进一步推进开展国家医保谈判药品“双通道”业务的通知》开发</w:t>
            </w:r>
          </w:p>
        </w:tc>
      </w:tr>
      <w:tr w14:paraId="034A9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3E30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7.1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4B9E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AE287">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定点医疗机构按国家医疗保障信息平台定点医药机构“双通道”业务接口规范改造院内信息系统，满足医保参保人双通道药品外配处方医疗需求的调研。</w:t>
            </w:r>
          </w:p>
        </w:tc>
      </w:tr>
      <w:tr w14:paraId="5F00C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0E31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7.2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61EF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3C17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定点医疗机构按国家医疗保障信息平台定点医药机构“双通道”业务接口规范改造院内信息系统，满足医保参保人双通道药品外配处方医疗需求的分析设计。</w:t>
            </w:r>
          </w:p>
        </w:tc>
      </w:tr>
      <w:tr w14:paraId="0A819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45BF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7.3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76F9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院内药品配备与医保药品目录联调联动机制接口改造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08B4A">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院内药品配备与医保药品目录联调联动机制接口改造升级</w:t>
            </w:r>
          </w:p>
        </w:tc>
      </w:tr>
      <w:tr w14:paraId="0A42C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06C9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7.4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036E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临床诊疗流程接口改造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18050">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临床诊疗流程接口改造升级</w:t>
            </w:r>
          </w:p>
        </w:tc>
      </w:tr>
      <w:tr w14:paraId="76551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81DE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7.5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730A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第三方联调测试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4D37D">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接口程序联调测试</w:t>
            </w:r>
          </w:p>
        </w:tc>
      </w:tr>
      <w:tr w14:paraId="04CF6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4646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7.6</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12B6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6B356">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接口程序上线</w:t>
            </w:r>
          </w:p>
        </w:tc>
      </w:tr>
      <w:tr w14:paraId="56C71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D3D0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8</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BA57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完善参保人员医疗救助金记账结算业务接口改造功能</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6D23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根据《广州市医疗保险服务中心关于完善参保人员医疗救助金记账结算工作的通知》开发</w:t>
            </w:r>
          </w:p>
        </w:tc>
      </w:tr>
      <w:tr w14:paraId="4928E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D1B4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8.1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57FA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F74D7">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已认定为医疗救助人员且在有效期内的参保人员，在非其选定本市定点医疗机构发生的普通门诊医疗费用，由医疗救助金按规定予以支付的调研。</w:t>
            </w:r>
          </w:p>
        </w:tc>
      </w:tr>
      <w:tr w14:paraId="55387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DB36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8.2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0B3B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08D2D">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已认定为医疗救助人员且在有效期内的参保人员，在非其选定本市定点医疗机构发生的普通门诊医疗费用，由医疗救助金按规定予以支付的功能分析设计。</w:t>
            </w:r>
          </w:p>
        </w:tc>
      </w:tr>
      <w:tr w14:paraId="60BE2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25CE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8.3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AECE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门诊信息上传接口改造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3D327">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门诊信息上传接口改造升级</w:t>
            </w:r>
          </w:p>
        </w:tc>
      </w:tr>
      <w:tr w14:paraId="494F4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261EE">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8.4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CA5E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门诊预结算接口改造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1FDF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门诊预结算接口改造升级</w:t>
            </w:r>
          </w:p>
        </w:tc>
      </w:tr>
      <w:tr w14:paraId="45F28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141B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8.5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D7FF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门诊结算接口改造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32425">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门诊结算接口改造升级</w:t>
            </w:r>
          </w:p>
        </w:tc>
      </w:tr>
      <w:tr w14:paraId="0C58B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A3A2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8.6</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34EE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第三方联调测试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1651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接口联调</w:t>
            </w:r>
          </w:p>
        </w:tc>
      </w:tr>
      <w:tr w14:paraId="7F6CF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EC2B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8.7</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94B9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9CB19">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接口程序上线</w:t>
            </w:r>
          </w:p>
        </w:tc>
      </w:tr>
      <w:tr w14:paraId="2AB5C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3530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9</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B9C9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医保结算清单4101A接口改造功能</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5ABC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根据《广州市医疗保险服务中心关于做好医保结算清单4101A接口更新工作的通知》开发</w:t>
            </w:r>
          </w:p>
        </w:tc>
      </w:tr>
      <w:tr w14:paraId="62539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7F70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9.1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F2708">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88C13">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为统一医保结算清单数据采集标准，提高医保结算清单数据质量，启用4101A更新接口上传结算清单的调研</w:t>
            </w:r>
          </w:p>
        </w:tc>
      </w:tr>
      <w:tr w14:paraId="1C080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7FBA1">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9.2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8E87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B534D">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为统一医保结算清单数据采集标准，提高医保结算清单数据质量，启用4101A更新接口上传结算清单的分析设计</w:t>
            </w:r>
          </w:p>
        </w:tc>
      </w:tr>
      <w:tr w14:paraId="7CB68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13FC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9.3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4B7A0">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医疗保障基金结算清单信息上传接口改造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9579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结算清单信息增加编码字段信息，麻醉操作和手术操作入参信息。</w:t>
            </w:r>
          </w:p>
        </w:tc>
      </w:tr>
      <w:tr w14:paraId="079FA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FFE0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9.4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E3DF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第三方联调测试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F8764">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接口联调</w:t>
            </w:r>
          </w:p>
        </w:tc>
      </w:tr>
      <w:tr w14:paraId="12876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90F1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9.5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B7B7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A003B">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接口程序上线</w:t>
            </w:r>
          </w:p>
        </w:tc>
      </w:tr>
      <w:tr w14:paraId="2799F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1F424">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10</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0CF9C">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医保智能审核</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7380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根据《广州市医疗保险服务中心关于印发智能审核事前提醒工作指引的通知》的需求开发</w:t>
            </w:r>
          </w:p>
        </w:tc>
      </w:tr>
      <w:tr w14:paraId="550FA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B81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10.1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385CF">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A719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定点医药机构智能审核事前提示规则的调研</w:t>
            </w:r>
          </w:p>
        </w:tc>
      </w:tr>
      <w:tr w14:paraId="55C4E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78845">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10.2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90791">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DD95D">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定点医药机构智能审核事前提示规则的分析设计</w:t>
            </w:r>
          </w:p>
        </w:tc>
      </w:tr>
      <w:tr w14:paraId="11B6D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95EFE">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10.3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E7447">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7C77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xml:space="preserve"> 明细审核事前提醒分析服务、明细审核事中分析服务、事前提醒服务反馈服务接口改造</w:t>
            </w:r>
          </w:p>
        </w:tc>
      </w:tr>
      <w:tr w14:paraId="6B486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72EA4">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10.4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45907">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第三方联调测试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D5C4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接口联调</w:t>
            </w:r>
          </w:p>
        </w:tc>
      </w:tr>
      <w:tr w14:paraId="23321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15282">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10.5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E58C2">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0530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接口程序上线</w:t>
            </w:r>
          </w:p>
        </w:tc>
      </w:tr>
      <w:tr w14:paraId="03F14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B94B3">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C35F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 xml:space="preserve">工伤保险跨省异地就医直接结算 </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9BFF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根据《关于做好 2025 年我省工伤保险跨省异地就医直接结算试点扩围有关工作的通知》的需求开发</w:t>
            </w:r>
          </w:p>
        </w:tc>
      </w:tr>
      <w:tr w14:paraId="14877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04DCD">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11.1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5B997">
            <w:pPr>
              <w:widowControl/>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F158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工伤保险跨省异地就医直接结算的调研</w:t>
            </w:r>
          </w:p>
        </w:tc>
      </w:tr>
      <w:tr w14:paraId="2936B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D230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11.2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72354">
            <w:pPr>
              <w:widowControl/>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4ACD7">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工伤保险跨省异地就医直接结算的分析设计</w:t>
            </w:r>
          </w:p>
        </w:tc>
      </w:tr>
      <w:tr w14:paraId="2464C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F1C80">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11.3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6BF4C">
            <w:pPr>
              <w:widowControl/>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6B4C3">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工伤跨省异地就医接口改造、电子社保卡读卡扫码改造</w:t>
            </w:r>
          </w:p>
        </w:tc>
      </w:tr>
      <w:tr w14:paraId="361D1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BCAD3">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11.4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25743">
            <w:pPr>
              <w:widowControl/>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第三方联调测试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A341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接口联调</w:t>
            </w:r>
          </w:p>
        </w:tc>
      </w:tr>
      <w:tr w14:paraId="5492B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5F172">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11.5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F9693">
            <w:pPr>
              <w:widowControl/>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1C174">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接口程序上线</w:t>
            </w:r>
          </w:p>
        </w:tc>
      </w:tr>
      <w:tr w14:paraId="18992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865A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F31AD">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工伤保险职业伤害保障</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80609">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根据《广东省新就业形态就业人员职业伤害保障待遇核付管理指导意见》或新文件要求</w:t>
            </w:r>
          </w:p>
        </w:tc>
      </w:tr>
      <w:tr w14:paraId="411A3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5016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12.1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2958F">
            <w:pPr>
              <w:widowControl/>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BF6BF">
            <w:pPr>
              <w:widowControl/>
              <w:spacing w:beforeLines="0" w:afterLines="0"/>
              <w:jc w:val="center"/>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工伤保险职业伤害保障调研</w:t>
            </w:r>
          </w:p>
        </w:tc>
      </w:tr>
      <w:tr w14:paraId="35631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B26F2">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12.2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34B20">
            <w:pPr>
              <w:widowControl/>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8917C">
            <w:pPr>
              <w:widowControl/>
              <w:spacing w:beforeLines="0" w:afterLines="0"/>
              <w:jc w:val="center"/>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工伤保险职业伤害保障的分析设计</w:t>
            </w:r>
          </w:p>
        </w:tc>
      </w:tr>
      <w:tr w14:paraId="194D4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6672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12.3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4123B">
            <w:pPr>
              <w:widowControl/>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27E8F">
            <w:pPr>
              <w:widowControl/>
              <w:spacing w:beforeLines="0" w:afterLines="0"/>
              <w:jc w:val="center"/>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工伤保险职业伤害保障接口改造</w:t>
            </w:r>
          </w:p>
        </w:tc>
      </w:tr>
      <w:tr w14:paraId="6CAEB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2BA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12.4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84ABD">
            <w:pPr>
              <w:widowControl/>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第三方联调测试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09963">
            <w:pPr>
              <w:widowControl/>
              <w:spacing w:beforeLines="0" w:afterLines="0"/>
              <w:jc w:val="center"/>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接口联调</w:t>
            </w:r>
          </w:p>
        </w:tc>
      </w:tr>
      <w:tr w14:paraId="70694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957FB">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12.5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0DF38">
            <w:pPr>
              <w:widowControl/>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D568D">
            <w:pPr>
              <w:widowControl/>
              <w:spacing w:beforeLines="0" w:afterLines="0"/>
              <w:jc w:val="center"/>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接口程序上线</w:t>
            </w:r>
          </w:p>
        </w:tc>
      </w:tr>
      <w:tr w14:paraId="51B7A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3E375">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D7A96">
            <w:pPr>
              <w:widowControl/>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传染病智能监测预警前置软件部署</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2A1C4">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功能根据《广州市卫生健康委关于转发&lt;加快推进国家传染病智能监测预警前置软件部署工作方案&gt;的通知》的需求</w:t>
            </w:r>
          </w:p>
        </w:tc>
      </w:tr>
      <w:tr w14:paraId="4F075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F360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13.1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6F8ED">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A38F1">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传染病智能监测预警前置软件部署的调研</w:t>
            </w:r>
          </w:p>
        </w:tc>
      </w:tr>
      <w:tr w14:paraId="7B1FC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D64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13.2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DC139">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394E6">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传染病智能监测预警前置软件部署的分析设计</w:t>
            </w:r>
          </w:p>
        </w:tc>
      </w:tr>
      <w:tr w14:paraId="57D3B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8296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13.3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D94A7">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23A64">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传染病智能监测预警前置软件部署的接口改造</w:t>
            </w:r>
          </w:p>
        </w:tc>
      </w:tr>
      <w:tr w14:paraId="126ED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BAFE0">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13.4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7E0FB">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第三方联调测试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4E046">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接口联调</w:t>
            </w:r>
          </w:p>
        </w:tc>
      </w:tr>
      <w:tr w14:paraId="10CE0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DC6DE">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13.5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3D5C1">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D952F">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接口程序上线</w:t>
            </w:r>
          </w:p>
        </w:tc>
      </w:tr>
      <w:tr w14:paraId="59C84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C8B96">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F4912">
            <w:pPr>
              <w:widowControl/>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呼气试验测试仪对接</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0C2F3">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功能根据《呼气试验测试仪接口》的需求</w:t>
            </w:r>
          </w:p>
        </w:tc>
      </w:tr>
      <w:tr w14:paraId="3A50A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832AC">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14.1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4CE56">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21C54">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呼气试验测试仪对接的调研</w:t>
            </w:r>
          </w:p>
        </w:tc>
      </w:tr>
      <w:tr w14:paraId="18148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53CA4">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14.2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8A720">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4A13C">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呼气试验测试仪对接的分析设计</w:t>
            </w:r>
          </w:p>
        </w:tc>
      </w:tr>
      <w:tr w14:paraId="74BFA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0BA23">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14.3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308DC">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42804">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呼气试验测试仪对接的接口改造</w:t>
            </w:r>
          </w:p>
        </w:tc>
      </w:tr>
      <w:tr w14:paraId="1CE7A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87495">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14.4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059E7">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第三方联调测试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BD8EA">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接口联调</w:t>
            </w:r>
          </w:p>
        </w:tc>
      </w:tr>
      <w:tr w14:paraId="1178F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E031A">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14.5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9B627">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B7645">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接口程序上线</w:t>
            </w:r>
          </w:p>
        </w:tc>
      </w:tr>
      <w:tr w14:paraId="781F1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0565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A1D23">
            <w:pPr>
              <w:widowControl/>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门急诊诊疗信息页</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0A6B3">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根据《国家卫生健康委医政司开展门（急）诊诊疗信息数据报告有关工作的通知》的需求</w:t>
            </w:r>
          </w:p>
        </w:tc>
      </w:tr>
      <w:tr w14:paraId="1B125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0CD6A">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15.1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71CEC">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7E760">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门急诊诊疗信息页的调研</w:t>
            </w:r>
          </w:p>
        </w:tc>
      </w:tr>
      <w:tr w14:paraId="37423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A09A0">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15.2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8D936">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0BBD4">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门急诊诊疗信息页的分析设计</w:t>
            </w:r>
          </w:p>
        </w:tc>
      </w:tr>
      <w:tr w14:paraId="48F38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398F7">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15.3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5BD0D">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B3D5F">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门急诊诊疗信息页的接口改造</w:t>
            </w:r>
          </w:p>
        </w:tc>
      </w:tr>
      <w:tr w14:paraId="62FD1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3B25">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15.4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7F534">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第三方联调测试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17DE6">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接口联调</w:t>
            </w:r>
          </w:p>
        </w:tc>
      </w:tr>
      <w:tr w14:paraId="0591C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03B97">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15.5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66CE3">
            <w:pPr>
              <w:widowControl/>
              <w:spacing w:beforeLines="0" w:afterLines="0"/>
              <w:jc w:val="center"/>
              <w:rPr>
                <w:rFonts w:hint="eastAsia" w:ascii="仿宋_GB2312" w:hAnsi="黑体" w:eastAsia="仿宋_GB2312"/>
                <w:color w:val="auto"/>
                <w:kern w:val="0"/>
                <w:sz w:val="21"/>
              </w:rPr>
            </w:pPr>
            <w:r>
              <w:rPr>
                <w:rFonts w:hint="eastAsia" w:ascii="仿宋_GB2312" w:hAnsi="黑体" w:eastAsia="仿宋_GB2312"/>
                <w:color w:val="auto"/>
                <w:kern w:val="0"/>
                <w:sz w:val="21"/>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697D5">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接口程序上线</w:t>
            </w:r>
          </w:p>
        </w:tc>
      </w:tr>
      <w:tr w14:paraId="16047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621B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16</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1ACE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功能根据下达的医保政策文件需求</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995F9">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根据下达的医保政策文件需求开发</w:t>
            </w:r>
          </w:p>
        </w:tc>
      </w:tr>
      <w:tr w14:paraId="02CF7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03D56">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16.1</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697E6">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系统需求调研</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FE79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系统需求调研</w:t>
            </w:r>
          </w:p>
        </w:tc>
      </w:tr>
      <w:tr w14:paraId="77C5F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DA56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16.2</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53999">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系统分析设计</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EE8EA">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系统分析设计</w:t>
            </w:r>
          </w:p>
        </w:tc>
      </w:tr>
      <w:tr w14:paraId="59B9D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59F61">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16.3</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BF241">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接口改造</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7753F">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接口改造</w:t>
            </w:r>
          </w:p>
        </w:tc>
      </w:tr>
      <w:tr w14:paraId="5AA9E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1060F">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16.4</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75473">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第三方联调测试</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CF706">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接口联调</w:t>
            </w:r>
          </w:p>
        </w:tc>
      </w:tr>
      <w:tr w14:paraId="48CB1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A660B">
            <w:pPr>
              <w:widowControl/>
              <w:adjustRightInd/>
              <w:spacing w:before="0" w:after="0" w:line="240" w:lineRule="auto"/>
              <w:jc w:val="center"/>
              <w:textAlignment w:val="auto"/>
              <w:rPr>
                <w:rFonts w:hint="default"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16.5</w:t>
            </w:r>
          </w:p>
        </w:tc>
        <w:tc>
          <w:tcPr>
            <w:tcW w:w="2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545D8">
            <w:pPr>
              <w:widowControl/>
              <w:spacing w:beforeLines="0" w:afterLines="0"/>
              <w:jc w:val="center"/>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olor w:val="auto"/>
                <w:kern w:val="0"/>
                <w:sz w:val="21"/>
              </w:rPr>
              <w:t>系统上线</w:t>
            </w:r>
          </w:p>
        </w:tc>
        <w:tc>
          <w:tcPr>
            <w:tcW w:w="5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ABB65">
            <w:pPr>
              <w:widowControl/>
              <w:adjustRightInd/>
              <w:spacing w:before="0" w:after="0" w:line="240" w:lineRule="auto"/>
              <w:jc w:val="center"/>
              <w:textAlignment w:val="auto"/>
              <w:rPr>
                <w:rFonts w:hint="eastAsia" w:ascii="仿宋_GB2312" w:hAnsi="黑体" w:eastAsia="仿宋_GB2312" w:cs="黑体"/>
                <w:b w:val="0"/>
                <w:bCs w:val="0"/>
                <w:color w:val="auto"/>
                <w:kern w:val="0"/>
                <w:sz w:val="21"/>
                <w:szCs w:val="21"/>
                <w:highlight w:val="none"/>
                <w:lang w:val="en-US" w:eastAsia="zh-CN"/>
              </w:rPr>
            </w:pPr>
            <w:r>
              <w:rPr>
                <w:rFonts w:hint="eastAsia" w:ascii="仿宋_GB2312" w:hAnsi="黑体" w:eastAsia="仿宋_GB2312" w:cs="黑体"/>
                <w:b w:val="0"/>
                <w:bCs w:val="0"/>
                <w:color w:val="auto"/>
                <w:kern w:val="0"/>
                <w:sz w:val="21"/>
                <w:szCs w:val="21"/>
                <w:highlight w:val="none"/>
                <w:lang w:val="en-US" w:eastAsia="zh-CN"/>
              </w:rPr>
              <w:t>接口程序上线</w:t>
            </w:r>
          </w:p>
        </w:tc>
      </w:tr>
    </w:tbl>
    <w:p w14:paraId="0BC9E7A1">
      <w:pPr>
        <w:keepNext/>
        <w:keepLines/>
        <w:widowControl w:val="0"/>
        <w:numPr>
          <w:ilvl w:val="2"/>
          <w:numId w:val="1"/>
        </w:numPr>
        <w:adjustRightInd w:val="0"/>
        <w:spacing w:before="180" w:after="180" w:line="360" w:lineRule="auto"/>
        <w:jc w:val="both"/>
        <w:textAlignment w:val="baseline"/>
        <w:outlineLvl w:val="2"/>
        <w:rPr>
          <w:rFonts w:hint="eastAsia" w:ascii="黑体" w:hAnsi="黑体" w:eastAsia="黑体" w:cs="黑体"/>
          <w:b w:val="0"/>
          <w:bCs w:val="0"/>
          <w:color w:val="auto"/>
          <w:sz w:val="24"/>
          <w:szCs w:val="24"/>
          <w:highlight w:val="none"/>
          <w:lang w:val="en-US" w:eastAsia="zh-CN" w:bidi="ar-SA"/>
        </w:rPr>
      </w:pPr>
      <w:bookmarkStart w:id="19" w:name="_Toc26989"/>
      <w:bookmarkStart w:id="20" w:name="_Toc721670569"/>
      <w:r>
        <w:rPr>
          <w:rFonts w:hint="eastAsia" w:ascii="黑体" w:hAnsi="黑体" w:eastAsia="黑体" w:cs="黑体"/>
          <w:b w:val="0"/>
          <w:bCs w:val="0"/>
          <w:color w:val="auto"/>
          <w:sz w:val="24"/>
          <w:szCs w:val="24"/>
          <w:highlight w:val="none"/>
          <w:lang w:val="en-US" w:eastAsia="zh-CN" w:bidi="ar-SA"/>
        </w:rPr>
        <w:t>培训需求和计划</w:t>
      </w:r>
      <w:bookmarkEnd w:id="19"/>
      <w:bookmarkEnd w:id="20"/>
    </w:p>
    <w:p w14:paraId="078A5728">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21" w:name="_Toc129614927"/>
      <w:r>
        <w:rPr>
          <w:rFonts w:hint="eastAsia" w:ascii="黑体" w:hAnsi="黑体" w:eastAsia="黑体" w:cs="黑体"/>
          <w:b w:val="0"/>
          <w:bCs w:val="0"/>
          <w:color w:val="auto"/>
          <w:sz w:val="24"/>
          <w:szCs w:val="30"/>
          <w:highlight w:val="none"/>
          <w:lang w:val="en-US" w:eastAsia="zh-CN" w:bidi="ar-SA"/>
        </w:rPr>
        <w:t>培训需求</w:t>
      </w:r>
      <w:bookmarkEnd w:id="21"/>
    </w:p>
    <w:p w14:paraId="68DD7BC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对用户单位的培训是保证整个项目成功的重要环节之一。为了让用户单位人员更好地对系统进行管理和维护，软件开发企业将负责对相关技术人员和管理专家进行全面的培训，使之在各个层次上掌握应用软件系统的操作、系统配置、运营、故障处理及日常测试维护，从而确保全网能正常安全的运行。</w:t>
      </w:r>
    </w:p>
    <w:p w14:paraId="33893AF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软件开发企业需提供下列几个方面的培训：</w:t>
      </w:r>
    </w:p>
    <w:p w14:paraId="24A3115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（1）系统软件的用户使用培训，应用软件操作培训；</w:t>
      </w:r>
    </w:p>
    <w:p w14:paraId="2414FFC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（2）系统管理培训、甲方技术人员维护培训；</w:t>
      </w:r>
    </w:p>
    <w:p w14:paraId="1E5EBFB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（3）应用软件操作疑难问题解答。</w:t>
      </w:r>
    </w:p>
    <w:p w14:paraId="7017BF20">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22" w:name="_Toc889660031"/>
      <w:r>
        <w:rPr>
          <w:rFonts w:hint="eastAsia" w:ascii="黑体" w:hAnsi="黑体" w:eastAsia="黑体" w:cs="黑体"/>
          <w:b w:val="0"/>
          <w:bCs w:val="0"/>
          <w:color w:val="auto"/>
          <w:sz w:val="24"/>
          <w:szCs w:val="30"/>
          <w:highlight w:val="none"/>
          <w:lang w:val="en-US" w:eastAsia="zh-CN" w:bidi="ar-SA"/>
        </w:rPr>
        <w:t>培训计划</w:t>
      </w:r>
      <w:bookmarkEnd w:id="22"/>
    </w:p>
    <w:p w14:paraId="21098224">
      <w:pPr>
        <w:keepNext/>
        <w:keepLines/>
        <w:widowControl w:val="0"/>
        <w:numPr>
          <w:ilvl w:val="3"/>
          <w:numId w:val="2"/>
        </w:numPr>
        <w:adjustRightInd w:val="0"/>
        <w:spacing w:before="180" w:after="180" w:line="360" w:lineRule="auto"/>
        <w:ind w:left="864" w:hanging="864"/>
        <w:jc w:val="both"/>
        <w:textAlignment w:val="baseline"/>
        <w:outlineLvl w:val="4"/>
        <w:rPr>
          <w:rFonts w:hint="eastAsia" w:ascii="Times New Roman" w:hAnsi="Times New Roman" w:eastAsia="宋体" w:cs="Times New Roman"/>
          <w:b w:val="0"/>
          <w:bCs w:val="0"/>
          <w:color w:val="auto"/>
          <w:sz w:val="24"/>
          <w:szCs w:val="28"/>
          <w:highlight w:val="none"/>
          <w:lang w:val="en-US" w:eastAsia="zh-CN" w:bidi="ar-SA"/>
        </w:rPr>
      </w:pPr>
      <w:r>
        <w:rPr>
          <w:rFonts w:hint="eastAsia" w:ascii="Times New Roman" w:hAnsi="Times New Roman" w:eastAsia="宋体" w:cs="Times New Roman"/>
          <w:b w:val="0"/>
          <w:bCs w:val="0"/>
          <w:color w:val="auto"/>
          <w:sz w:val="24"/>
          <w:szCs w:val="28"/>
          <w:highlight w:val="none"/>
          <w:lang w:val="en-US" w:eastAsia="zh-CN" w:bidi="ar-SA"/>
        </w:rPr>
        <w:t>培训对象</w:t>
      </w:r>
    </w:p>
    <w:p w14:paraId="2A4EE94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初级培训可使得系统维护人员能够顺利地完成日常的维护工作，保证系统的正常运行；高级培训应使得高级维护人员对本业务支撑系统的运行机制有着清晰明确的认识，并能够高效及时地解决系统突发运行故障。培训包括业务人员和信息中心维护人员。</w:t>
      </w:r>
    </w:p>
    <w:p w14:paraId="339CCB9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软件开发企业提供多种培训课程和各种深度、广度的产品和技术知识讲座。由开发方富有经验的技术工程师对相关技术人员进行针对性的培训。软件开发企业的技术人员和培训教师随时准备为用户提供技术支持和最新技术信息。</w:t>
      </w:r>
    </w:p>
    <w:p w14:paraId="4CF95223">
      <w:pPr>
        <w:keepNext/>
        <w:keepLines/>
        <w:widowControl w:val="0"/>
        <w:numPr>
          <w:ilvl w:val="3"/>
          <w:numId w:val="2"/>
        </w:numPr>
        <w:adjustRightInd w:val="0"/>
        <w:spacing w:before="180" w:after="180" w:line="360" w:lineRule="auto"/>
        <w:ind w:left="864" w:hanging="864"/>
        <w:jc w:val="both"/>
        <w:textAlignment w:val="baseline"/>
        <w:outlineLvl w:val="4"/>
        <w:rPr>
          <w:rFonts w:hint="eastAsia" w:ascii="Times New Roman" w:hAnsi="Times New Roman" w:eastAsia="宋体" w:cs="Times New Roman"/>
          <w:b w:val="0"/>
          <w:bCs w:val="0"/>
          <w:color w:val="auto"/>
          <w:sz w:val="24"/>
          <w:szCs w:val="28"/>
          <w:highlight w:val="none"/>
          <w:lang w:val="en-US" w:eastAsia="zh-CN" w:bidi="ar-SA"/>
        </w:rPr>
      </w:pPr>
      <w:r>
        <w:rPr>
          <w:rFonts w:hint="eastAsia" w:ascii="Times New Roman" w:hAnsi="Times New Roman" w:eastAsia="宋体" w:cs="Times New Roman"/>
          <w:b w:val="0"/>
          <w:bCs w:val="0"/>
          <w:color w:val="auto"/>
          <w:sz w:val="24"/>
          <w:szCs w:val="28"/>
          <w:highlight w:val="none"/>
          <w:lang w:val="en-US" w:eastAsia="zh-CN" w:bidi="ar-SA"/>
        </w:rPr>
        <w:t>培训目标</w:t>
      </w:r>
    </w:p>
    <w:p w14:paraId="19402638">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1、高级系统管理员培训</w:t>
      </w:r>
    </w:p>
    <w:p w14:paraId="569FDF5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高级系统管理人员是指对整个系统中的配置、系统软件、数据库、应用系统以及网络通信软件进行管理和维护的人员。这部分人员经过培训，主要能达到以下目标：</w:t>
      </w:r>
    </w:p>
    <w:p w14:paraId="591B0CA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掌握软件开发和测试方法；</w:t>
      </w:r>
    </w:p>
    <w:p w14:paraId="1F007A6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掌握软件系统工具的使用；</w:t>
      </w:r>
    </w:p>
    <w:p w14:paraId="4E9DC0F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掌握系统的初始化和主要参数的设定方法；</w:t>
      </w:r>
    </w:p>
    <w:p w14:paraId="4D5E84B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熟悉数据备份的多种方法；</w:t>
      </w:r>
    </w:p>
    <w:p w14:paraId="1F212EB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对一般性故障进行诊断、定位和排除；</w:t>
      </w:r>
    </w:p>
    <w:p w14:paraId="5E05F06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掌握系统故障后的恢复方法；</w:t>
      </w:r>
    </w:p>
    <w:p w14:paraId="47CA2A7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熟练查阅各种系统操作和维护手册。</w:t>
      </w:r>
    </w:p>
    <w:p w14:paraId="7305F05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2、日常运营维护的技术人员</w:t>
      </w:r>
    </w:p>
    <w:p w14:paraId="6D32E17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日常运营维护的技术人员是指对计算机集成系统的软硬件进行安装、运行维护的人员。这一部分人员经过培训，主要能达到以下目标：</w:t>
      </w:r>
    </w:p>
    <w:p w14:paraId="4B5AAE61">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掌握系统管理和系统维护方法；</w:t>
      </w:r>
    </w:p>
    <w:p w14:paraId="05E6858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能够进行系统软硬件安装配置；</w:t>
      </w:r>
    </w:p>
    <w:p w14:paraId="4DF3B9C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能够进行应用软件安装；</w:t>
      </w:r>
    </w:p>
    <w:p w14:paraId="2C711550">
      <w:pPr>
        <w:adjustRightInd w:val="0"/>
        <w:spacing w:before="60" w:after="60" w:line="360" w:lineRule="auto"/>
        <w:ind w:firstLine="480"/>
        <w:textAlignment w:val="baseline"/>
        <w:rPr>
          <w:rFonts w:hint="eastAsia" w:ascii="仿宋_GB2312" w:hAnsi="仿宋_GB2312" w:eastAsia="仿宋_GB2312" w:cs="仿宋_GB2312"/>
          <w:b w:val="0"/>
          <w:bCs w:val="0"/>
          <w:color w:val="auto"/>
          <w:kern w:val="0"/>
          <w:sz w:val="24"/>
          <w:szCs w:val="20"/>
          <w:highlight w:val="none"/>
        </w:rPr>
      </w:pPr>
      <w:r>
        <w:rPr>
          <w:rFonts w:hint="eastAsia" w:ascii="仿宋_GB2312" w:hAnsi="仿宋_GB2312" w:eastAsia="仿宋_GB2312" w:cs="仿宋_GB2312"/>
          <w:b w:val="0"/>
          <w:bCs w:val="0"/>
          <w:color w:val="auto"/>
          <w:kern w:val="0"/>
          <w:sz w:val="24"/>
          <w:szCs w:val="20"/>
          <w:highlight w:val="none"/>
        </w:rPr>
        <w:t>能够进行基本的日常运行操作和监测维护；</w:t>
      </w:r>
    </w:p>
    <w:p w14:paraId="6DDD9695">
      <w:pPr>
        <w:adjustRightInd w:val="0"/>
        <w:spacing w:before="60" w:after="60" w:line="360" w:lineRule="auto"/>
        <w:ind w:firstLine="480"/>
        <w:textAlignment w:val="baseline"/>
        <w:rPr>
          <w:rFonts w:hint="eastAsia" w:ascii="仿宋_GB2312" w:hAnsi="仿宋_GB2312" w:eastAsia="仿宋_GB2312" w:cs="仿宋_GB2312"/>
          <w:b w:val="0"/>
          <w:bCs w:val="0"/>
          <w:color w:val="auto"/>
          <w:kern w:val="0"/>
          <w:sz w:val="24"/>
          <w:szCs w:val="20"/>
          <w:highlight w:val="none"/>
        </w:rPr>
      </w:pPr>
      <w:r>
        <w:rPr>
          <w:rFonts w:hint="eastAsia" w:ascii="仿宋_GB2312" w:hAnsi="仿宋_GB2312" w:eastAsia="仿宋_GB2312" w:cs="仿宋_GB2312"/>
          <w:b w:val="0"/>
          <w:bCs w:val="0"/>
          <w:color w:val="auto"/>
          <w:kern w:val="0"/>
          <w:sz w:val="24"/>
          <w:szCs w:val="20"/>
          <w:highlight w:val="none"/>
        </w:rPr>
        <w:t>能够判断解决系统简单故障；</w:t>
      </w:r>
    </w:p>
    <w:p w14:paraId="0020C453">
      <w:pPr>
        <w:adjustRightInd w:val="0"/>
        <w:spacing w:before="60" w:after="60" w:line="360" w:lineRule="auto"/>
        <w:ind w:firstLine="480"/>
        <w:textAlignment w:val="baseline"/>
        <w:rPr>
          <w:rFonts w:hint="eastAsia" w:ascii="仿宋_GB2312" w:hAnsi="仿宋_GB2312" w:eastAsia="仿宋_GB2312" w:cs="仿宋_GB2312"/>
          <w:b w:val="0"/>
          <w:bCs w:val="0"/>
          <w:color w:val="auto"/>
          <w:kern w:val="0"/>
          <w:sz w:val="24"/>
          <w:szCs w:val="20"/>
          <w:highlight w:val="none"/>
        </w:rPr>
      </w:pPr>
      <w:r>
        <w:rPr>
          <w:rFonts w:hint="eastAsia" w:ascii="仿宋_GB2312" w:hAnsi="仿宋_GB2312" w:eastAsia="仿宋_GB2312" w:cs="仿宋_GB2312"/>
          <w:b w:val="0"/>
          <w:bCs w:val="0"/>
          <w:color w:val="auto"/>
          <w:kern w:val="0"/>
          <w:sz w:val="24"/>
          <w:szCs w:val="20"/>
          <w:highlight w:val="none"/>
        </w:rPr>
        <w:t>能够查阅各种系统操作和维护手册。</w:t>
      </w:r>
    </w:p>
    <w:p w14:paraId="2A1477CD">
      <w:pPr>
        <w:adjustRightInd w:val="0"/>
        <w:spacing w:before="60" w:after="60" w:line="360" w:lineRule="auto"/>
        <w:ind w:firstLine="480"/>
        <w:textAlignment w:val="baseline"/>
        <w:rPr>
          <w:rFonts w:hint="eastAsia" w:ascii="仿宋_GB2312" w:hAnsi="仿宋_GB2312" w:eastAsia="仿宋_GB2312" w:cs="仿宋_GB2312"/>
          <w:b w:val="0"/>
          <w:bCs w:val="0"/>
          <w:color w:val="auto"/>
          <w:kern w:val="0"/>
          <w:sz w:val="24"/>
          <w:szCs w:val="20"/>
          <w:highlight w:val="none"/>
        </w:rPr>
      </w:pPr>
      <w:r>
        <w:rPr>
          <w:rFonts w:hint="eastAsia" w:ascii="仿宋_GB2312" w:hAnsi="仿宋_GB2312" w:eastAsia="仿宋_GB2312" w:cs="仿宋_GB2312"/>
          <w:b w:val="0"/>
          <w:bCs w:val="0"/>
          <w:color w:val="auto"/>
          <w:kern w:val="0"/>
          <w:sz w:val="24"/>
          <w:szCs w:val="20"/>
          <w:highlight w:val="none"/>
        </w:rPr>
        <w:t>3、用户单位工作人员</w:t>
      </w:r>
    </w:p>
    <w:p w14:paraId="6B7AC78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 xml:space="preserve">经过培训将能熟练地使用工作站设备和应用软件界面； </w:t>
      </w:r>
    </w:p>
    <w:p w14:paraId="4B57D7F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 xml:space="preserve">培训内容包括系统及业务管理简介、业务管理详细讲解、数据分析服务详细解等； </w:t>
      </w:r>
    </w:p>
    <w:p w14:paraId="0FB8080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仿宋_GB2312" w:eastAsia="仿宋_GB2312" w:cs="仿宋_GB2312"/>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培训视人数分类分批进行</w:t>
      </w:r>
      <w:r>
        <w:rPr>
          <w:rFonts w:hint="eastAsia" w:ascii="仿宋_GB2312" w:hAnsi="仿宋_GB2312" w:eastAsia="仿宋_GB2312" w:cs="仿宋_GB2312"/>
          <w:b w:val="0"/>
          <w:bCs w:val="0"/>
          <w:color w:val="auto"/>
          <w:kern w:val="0"/>
          <w:sz w:val="24"/>
          <w:szCs w:val="20"/>
          <w:highlight w:val="none"/>
        </w:rPr>
        <w:t>。</w:t>
      </w:r>
    </w:p>
    <w:p w14:paraId="58932EFC">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23" w:name="_Toc1734990603"/>
      <w:r>
        <w:rPr>
          <w:rFonts w:hint="eastAsia" w:ascii="黑体" w:hAnsi="黑体" w:eastAsia="黑体" w:cs="黑体"/>
          <w:b w:val="0"/>
          <w:bCs w:val="0"/>
          <w:color w:val="auto"/>
          <w:sz w:val="24"/>
          <w:szCs w:val="30"/>
          <w:highlight w:val="none"/>
          <w:lang w:val="en-US" w:eastAsia="zh-CN" w:bidi="ar-SA"/>
        </w:rPr>
        <w:t>培训方式</w:t>
      </w:r>
      <w:bookmarkEnd w:id="23"/>
    </w:p>
    <w:p w14:paraId="31B4C46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eastAsia="zh-CN"/>
        </w:rPr>
      </w:pPr>
      <w:r>
        <w:rPr>
          <w:rFonts w:hint="eastAsia" w:ascii="仿宋_GB2312" w:hAnsi="Times New Roman" w:eastAsia="仿宋_GB2312" w:cs="Times New Roman"/>
          <w:b w:val="0"/>
          <w:bCs w:val="0"/>
          <w:color w:val="auto"/>
          <w:kern w:val="0"/>
          <w:sz w:val="24"/>
          <w:szCs w:val="20"/>
          <w:highlight w:val="none"/>
        </w:rPr>
        <w:t>理论课程与实践操作相结合的培训方式，保证受训者能将所学的理论知识应用到工作环境中。</w:t>
      </w:r>
    </w:p>
    <w:p w14:paraId="1F9C94FD">
      <w:pPr>
        <w:keepNext/>
        <w:keepLines/>
        <w:widowControl w:val="0"/>
        <w:numPr>
          <w:ilvl w:val="2"/>
          <w:numId w:val="1"/>
        </w:numPr>
        <w:adjustRightInd w:val="0"/>
        <w:spacing w:before="180" w:after="180" w:line="360" w:lineRule="auto"/>
        <w:jc w:val="both"/>
        <w:textAlignment w:val="baseline"/>
        <w:outlineLvl w:val="2"/>
        <w:rPr>
          <w:rFonts w:hint="eastAsia" w:ascii="仿宋_GB2312" w:hAnsi="Times New Roman" w:eastAsia="仿宋_GB2312" w:cs="Times New Roman"/>
          <w:b w:val="0"/>
          <w:bCs w:val="0"/>
          <w:color w:val="auto"/>
          <w:kern w:val="0"/>
          <w:sz w:val="24"/>
          <w:szCs w:val="20"/>
          <w:highlight w:val="none"/>
          <w:lang w:val="en-US" w:eastAsia="zh-CN"/>
        </w:rPr>
      </w:pPr>
      <w:bookmarkStart w:id="24" w:name="_Toc1454105655"/>
      <w:bookmarkStart w:id="25" w:name="_Toc32214"/>
      <w:r>
        <w:rPr>
          <w:rFonts w:hint="eastAsia" w:ascii="黑体" w:hAnsi="黑体" w:eastAsia="黑体" w:cs="黑体"/>
          <w:b w:val="0"/>
          <w:bCs w:val="0"/>
          <w:color w:val="auto"/>
          <w:sz w:val="24"/>
          <w:szCs w:val="24"/>
          <w:highlight w:val="none"/>
          <w:lang w:val="en-US" w:eastAsia="zh-CN" w:bidi="ar-SA"/>
        </w:rPr>
        <w:t>关键节点管控</w:t>
      </w:r>
      <w:bookmarkEnd w:id="24"/>
      <w:bookmarkEnd w:id="25"/>
    </w:p>
    <w:p w14:paraId="6633307E">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26" w:name="_Toc1256642968"/>
      <w:r>
        <w:rPr>
          <w:rFonts w:hint="eastAsia" w:ascii="黑体" w:hAnsi="黑体" w:eastAsia="黑体" w:cs="黑体"/>
          <w:b w:val="0"/>
          <w:bCs w:val="0"/>
          <w:color w:val="auto"/>
          <w:sz w:val="24"/>
          <w:szCs w:val="30"/>
          <w:highlight w:val="none"/>
          <w:lang w:val="en-US" w:eastAsia="zh-CN" w:bidi="ar-SA"/>
        </w:rPr>
        <w:t>范围管理</w:t>
      </w:r>
      <w:bookmarkEnd w:id="26"/>
    </w:p>
    <w:p w14:paraId="6C45EFA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应用软件实施</w:t>
      </w:r>
    </w:p>
    <w:p w14:paraId="5DA1F96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随着项目的展开，需求分析完成后，</w:t>
      </w:r>
      <w:r>
        <w:rPr>
          <w:rFonts w:hint="eastAsia" w:ascii="仿宋_GB2312" w:hAnsi="Times New Roman" w:eastAsia="仿宋_GB2312" w:cs="Times New Roman"/>
          <w:b w:val="0"/>
          <w:bCs w:val="0"/>
          <w:color w:val="auto"/>
          <w:kern w:val="0"/>
          <w:sz w:val="24"/>
          <w:szCs w:val="20"/>
          <w:highlight w:val="none"/>
          <w:lang w:val="en-US" w:eastAsia="zh-CN"/>
        </w:rPr>
        <w:t>要有</w:t>
      </w:r>
      <w:r>
        <w:rPr>
          <w:rFonts w:hint="eastAsia" w:ascii="仿宋_GB2312" w:hAnsi="Times New Roman" w:eastAsia="仿宋_GB2312" w:cs="Times New Roman"/>
          <w:b w:val="0"/>
          <w:bCs w:val="0"/>
          <w:color w:val="auto"/>
          <w:kern w:val="0"/>
          <w:sz w:val="24"/>
          <w:szCs w:val="20"/>
          <w:highlight w:val="none"/>
        </w:rPr>
        <w:t>详细的项目任务分解列表来对实施工作范围进行明确定义。</w:t>
      </w:r>
    </w:p>
    <w:p w14:paraId="3DDD577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与其他系统的接口</w:t>
      </w:r>
    </w:p>
    <w:p w14:paraId="35E1E50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lang w:val="en-US" w:eastAsia="zh-CN"/>
        </w:rPr>
        <w:t>要求</w:t>
      </w:r>
      <w:r>
        <w:rPr>
          <w:rFonts w:hint="eastAsia" w:ascii="仿宋_GB2312" w:hAnsi="Times New Roman" w:eastAsia="仿宋_GB2312" w:cs="Times New Roman"/>
          <w:b w:val="0"/>
          <w:bCs w:val="0"/>
          <w:color w:val="auto"/>
          <w:kern w:val="0"/>
          <w:sz w:val="24"/>
          <w:szCs w:val="20"/>
          <w:highlight w:val="none"/>
        </w:rPr>
        <w:t>新系统需要与当地各类医保系统进行接口。</w:t>
      </w:r>
    </w:p>
    <w:p w14:paraId="605AFFD1">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27" w:name="_Toc2044178578"/>
      <w:r>
        <w:rPr>
          <w:rFonts w:hint="eastAsia" w:ascii="黑体" w:hAnsi="黑体" w:eastAsia="黑体" w:cs="黑体"/>
          <w:b w:val="0"/>
          <w:bCs w:val="0"/>
          <w:color w:val="auto"/>
          <w:sz w:val="24"/>
          <w:szCs w:val="30"/>
          <w:highlight w:val="none"/>
          <w:lang w:val="en-US" w:eastAsia="zh-CN" w:bidi="ar-SA"/>
        </w:rPr>
        <w:t>需求管理</w:t>
      </w:r>
      <w:bookmarkEnd w:id="27"/>
    </w:p>
    <w:p w14:paraId="40EDFC4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需求管理的目标</w:t>
      </w:r>
    </w:p>
    <w:p w14:paraId="0424CDB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lang w:val="en-US" w:eastAsia="zh-CN"/>
        </w:rPr>
        <w:t>要求</w:t>
      </w:r>
      <w:r>
        <w:rPr>
          <w:rFonts w:hint="eastAsia" w:ascii="仿宋_GB2312" w:hAnsi="Times New Roman" w:eastAsia="仿宋_GB2312" w:cs="Times New Roman"/>
          <w:b w:val="0"/>
          <w:bCs w:val="0"/>
          <w:color w:val="auto"/>
          <w:kern w:val="0"/>
          <w:sz w:val="24"/>
          <w:szCs w:val="20"/>
          <w:highlight w:val="none"/>
        </w:rPr>
        <w:t>充分理解需求是保证医院的系统建设目标得到实现，系统能提供支持医院的各项业务、管理和决策所需功能的关键过程，其直接影响到项目的关键质量。</w:t>
      </w:r>
    </w:p>
    <w:p w14:paraId="1B04B49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lang w:val="en-US" w:eastAsia="zh-CN"/>
        </w:rPr>
        <w:t>要求</w:t>
      </w:r>
      <w:r>
        <w:rPr>
          <w:rFonts w:hint="eastAsia" w:ascii="仿宋_GB2312" w:hAnsi="Times New Roman" w:eastAsia="仿宋_GB2312" w:cs="Times New Roman"/>
          <w:b w:val="0"/>
          <w:bCs w:val="0"/>
          <w:color w:val="auto"/>
          <w:kern w:val="0"/>
          <w:sz w:val="24"/>
          <w:szCs w:val="20"/>
          <w:highlight w:val="none"/>
        </w:rPr>
        <w:t>采用需求分析技术，开展包括流程分析、用户行为分析、业务数据分析、基础数据设计等活动，对医院做全面的专业化的产品差异分析，目标是生成产品差异化报告，为下一步的流程优化和产品部署奠定基础。</w:t>
      </w:r>
    </w:p>
    <w:p w14:paraId="709A5AA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需求分析</w:t>
      </w:r>
    </w:p>
    <w:p w14:paraId="0AC40C9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lang w:val="en-US" w:eastAsia="zh-CN"/>
        </w:rPr>
        <w:t>要求乙方</w:t>
      </w:r>
      <w:r>
        <w:rPr>
          <w:rFonts w:hint="eastAsia" w:ascii="仿宋_GB2312" w:hAnsi="Times New Roman" w:eastAsia="仿宋_GB2312" w:cs="Times New Roman"/>
          <w:b w:val="0"/>
          <w:bCs w:val="0"/>
          <w:color w:val="auto"/>
          <w:kern w:val="0"/>
          <w:sz w:val="24"/>
          <w:szCs w:val="20"/>
          <w:highlight w:val="none"/>
        </w:rPr>
        <w:t>委派多名专业的需求分析顾问，分部分负责需求分析工作。包括与院方需求分析人员沟通、收集汇总各部门业务流程需求、收集分析基础数据资料等。这个工作需要医院高层管理的推动与合作。</w:t>
      </w:r>
    </w:p>
    <w:p w14:paraId="2F849711">
      <w:pPr>
        <w:adjustRightInd w:val="0"/>
        <w:spacing w:before="60" w:after="60" w:line="360" w:lineRule="auto"/>
        <w:ind w:firstLine="480"/>
        <w:textAlignment w:val="baseline"/>
        <w:rPr>
          <w:rFonts w:hint="eastAsia" w:ascii="仿宋_GB2312" w:hAnsi="仿宋_GB2312" w:eastAsia="仿宋_GB2312" w:cs="仿宋_GB2312"/>
          <w:b w:val="0"/>
          <w:bCs w:val="0"/>
          <w:color w:val="auto"/>
          <w:kern w:val="0"/>
          <w:sz w:val="24"/>
          <w:szCs w:val="20"/>
          <w:highlight w:val="none"/>
        </w:rPr>
      </w:pPr>
      <w:r>
        <w:rPr>
          <w:rFonts w:hint="eastAsia" w:ascii="仿宋_GB2312" w:hAnsi="仿宋_GB2312" w:eastAsia="仿宋_GB2312" w:cs="仿宋_GB2312"/>
          <w:b w:val="0"/>
          <w:bCs w:val="0"/>
          <w:color w:val="auto"/>
          <w:kern w:val="0"/>
          <w:sz w:val="24"/>
          <w:szCs w:val="20"/>
          <w:highlight w:val="none"/>
          <w:lang w:val="en-US" w:eastAsia="zh-CN"/>
        </w:rPr>
        <w:t>要求</w:t>
      </w:r>
      <w:r>
        <w:rPr>
          <w:rFonts w:hint="eastAsia" w:ascii="仿宋_GB2312" w:hAnsi="仿宋_GB2312" w:eastAsia="仿宋_GB2312" w:cs="仿宋_GB2312"/>
          <w:b w:val="0"/>
          <w:bCs w:val="0"/>
          <w:color w:val="auto"/>
          <w:kern w:val="0"/>
          <w:sz w:val="24"/>
          <w:szCs w:val="20"/>
          <w:highlight w:val="none"/>
        </w:rPr>
        <w:t>对收集到的需求分类，并定义需求的优先级别。根据需求的优先级别来制订系统的实施计划，或安排定制化的软件开发任务。</w:t>
      </w:r>
    </w:p>
    <w:p w14:paraId="4D6A9F43">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28" w:name="_Toc1065975740"/>
      <w:r>
        <w:rPr>
          <w:rFonts w:hint="eastAsia" w:ascii="黑体" w:hAnsi="黑体" w:eastAsia="黑体" w:cs="黑体"/>
          <w:b w:val="0"/>
          <w:bCs w:val="0"/>
          <w:color w:val="auto"/>
          <w:sz w:val="24"/>
          <w:szCs w:val="30"/>
          <w:highlight w:val="none"/>
          <w:lang w:val="en-US" w:eastAsia="zh-CN" w:bidi="ar-SA"/>
        </w:rPr>
        <w:t>项目变更管理</w:t>
      </w:r>
      <w:bookmarkEnd w:id="28"/>
    </w:p>
    <w:p w14:paraId="557E0B4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项目实施过程中，变更的发生是难免的，但对变更要加以管理，防止变更失控。当需要对范围、需求或进度进行变更时，填写正式的变更单，双方对变更内容进行评估后将变更导致的时间、成本等方面的变化进行说明。若双方接受变更的带来的影响则可以进行变更，否则变更不能进行。对不同类型的变更可以采用不同的控制方法.</w:t>
      </w:r>
    </w:p>
    <w:p w14:paraId="671A301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微小变更：对流程有影响，对进度和资源无影响</w:t>
      </w:r>
    </w:p>
    <w:p w14:paraId="0478342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要求</w:t>
      </w:r>
      <w:r>
        <w:rPr>
          <w:rFonts w:hint="eastAsia" w:ascii="仿宋_GB2312" w:hAnsi="Times New Roman" w:eastAsia="仿宋_GB2312" w:cs="Times New Roman"/>
          <w:b w:val="0"/>
          <w:bCs w:val="0"/>
          <w:color w:val="auto"/>
          <w:kern w:val="0"/>
          <w:sz w:val="24"/>
          <w:szCs w:val="20"/>
          <w:highlight w:val="none"/>
        </w:rPr>
        <w:t>项目团队对变更进行讨论，确认变更的必要性和可行性</w:t>
      </w:r>
      <w:r>
        <w:rPr>
          <w:rFonts w:hint="eastAsia" w:ascii="仿宋_GB2312" w:hAnsi="Times New Roman" w:eastAsia="仿宋_GB2312" w:cs="Times New Roman"/>
          <w:b w:val="0"/>
          <w:bCs w:val="0"/>
          <w:color w:val="auto"/>
          <w:kern w:val="0"/>
          <w:sz w:val="24"/>
          <w:szCs w:val="20"/>
          <w:highlight w:val="none"/>
          <w:lang w:eastAsia="zh-CN"/>
        </w:rPr>
        <w:t>，</w:t>
      </w:r>
      <w:r>
        <w:rPr>
          <w:rFonts w:hint="eastAsia" w:ascii="仿宋_GB2312" w:hAnsi="Times New Roman" w:eastAsia="仿宋_GB2312" w:cs="Times New Roman"/>
          <w:b w:val="0"/>
          <w:bCs w:val="0"/>
          <w:color w:val="auto"/>
          <w:kern w:val="0"/>
          <w:sz w:val="24"/>
          <w:szCs w:val="20"/>
          <w:highlight w:val="none"/>
        </w:rPr>
        <w:t>填写变更记录单，对变更的原因和讨论结果加以记录</w:t>
      </w:r>
      <w:r>
        <w:rPr>
          <w:rFonts w:hint="eastAsia" w:ascii="仿宋_GB2312" w:hAnsi="Times New Roman" w:eastAsia="仿宋_GB2312" w:cs="Times New Roman"/>
          <w:b w:val="0"/>
          <w:bCs w:val="0"/>
          <w:color w:val="auto"/>
          <w:kern w:val="0"/>
          <w:sz w:val="24"/>
          <w:szCs w:val="20"/>
          <w:highlight w:val="none"/>
          <w:lang w:eastAsia="zh-CN"/>
        </w:rPr>
        <w:t>，</w:t>
      </w:r>
      <w:r>
        <w:rPr>
          <w:rFonts w:hint="eastAsia" w:ascii="仿宋_GB2312" w:hAnsi="Times New Roman" w:eastAsia="仿宋_GB2312" w:cs="Times New Roman"/>
          <w:b w:val="0"/>
          <w:bCs w:val="0"/>
          <w:color w:val="auto"/>
          <w:kern w:val="0"/>
          <w:sz w:val="24"/>
          <w:szCs w:val="20"/>
          <w:highlight w:val="none"/>
        </w:rPr>
        <w:t>变更提交项目指导委员会</w:t>
      </w:r>
      <w:r>
        <w:rPr>
          <w:rFonts w:hint="eastAsia" w:ascii="仿宋_GB2312" w:hAnsi="Times New Roman" w:eastAsia="仿宋_GB2312" w:cs="Times New Roman"/>
          <w:b w:val="0"/>
          <w:bCs w:val="0"/>
          <w:color w:val="auto"/>
          <w:kern w:val="0"/>
          <w:sz w:val="24"/>
          <w:szCs w:val="20"/>
          <w:highlight w:val="none"/>
          <w:lang w:val="en-US" w:eastAsia="zh-CN"/>
        </w:rPr>
        <w:t>决策。</w:t>
      </w:r>
    </w:p>
    <w:p w14:paraId="17F2D4A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显著变更：对项目进度和资源有影响</w:t>
      </w:r>
    </w:p>
    <w:p w14:paraId="54671F4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eastAsia="zh-CN"/>
        </w:rPr>
      </w:pPr>
      <w:r>
        <w:rPr>
          <w:rFonts w:hint="eastAsia" w:ascii="仿宋_GB2312" w:hAnsi="Times New Roman" w:eastAsia="仿宋_GB2312" w:cs="Times New Roman"/>
          <w:b w:val="0"/>
          <w:bCs w:val="0"/>
          <w:color w:val="auto"/>
          <w:kern w:val="0"/>
          <w:sz w:val="24"/>
          <w:szCs w:val="20"/>
          <w:highlight w:val="none"/>
          <w:lang w:val="en-US" w:eastAsia="zh-CN"/>
        </w:rPr>
        <w:t>要求</w:t>
      </w:r>
      <w:r>
        <w:rPr>
          <w:rFonts w:hint="eastAsia" w:ascii="仿宋_GB2312" w:hAnsi="Times New Roman" w:eastAsia="仿宋_GB2312" w:cs="Times New Roman"/>
          <w:b w:val="0"/>
          <w:bCs w:val="0"/>
          <w:color w:val="auto"/>
          <w:kern w:val="0"/>
          <w:sz w:val="24"/>
          <w:szCs w:val="20"/>
          <w:highlight w:val="none"/>
        </w:rPr>
        <w:t>项目团队对变更进行讨论，确认变更的必要性和可行性</w:t>
      </w:r>
      <w:r>
        <w:rPr>
          <w:rFonts w:hint="eastAsia" w:ascii="仿宋_GB2312" w:hAnsi="Times New Roman" w:eastAsia="仿宋_GB2312" w:cs="Times New Roman"/>
          <w:b w:val="0"/>
          <w:bCs w:val="0"/>
          <w:color w:val="auto"/>
          <w:kern w:val="0"/>
          <w:sz w:val="24"/>
          <w:szCs w:val="20"/>
          <w:highlight w:val="none"/>
          <w:lang w:eastAsia="zh-CN"/>
        </w:rPr>
        <w:t>。</w:t>
      </w:r>
      <w:r>
        <w:rPr>
          <w:rFonts w:hint="eastAsia" w:ascii="仿宋_GB2312" w:hAnsi="Times New Roman" w:eastAsia="仿宋_GB2312" w:cs="Times New Roman"/>
          <w:b w:val="0"/>
          <w:bCs w:val="0"/>
          <w:color w:val="auto"/>
          <w:kern w:val="0"/>
          <w:sz w:val="24"/>
          <w:szCs w:val="20"/>
          <w:highlight w:val="none"/>
          <w:lang w:val="en-US" w:eastAsia="zh-CN"/>
        </w:rPr>
        <w:t>要求</w:t>
      </w:r>
      <w:r>
        <w:rPr>
          <w:rFonts w:hint="eastAsia" w:ascii="仿宋_GB2312" w:hAnsi="Times New Roman" w:eastAsia="仿宋_GB2312" w:cs="Times New Roman"/>
          <w:b w:val="0"/>
          <w:bCs w:val="0"/>
          <w:color w:val="auto"/>
          <w:kern w:val="0"/>
          <w:sz w:val="24"/>
          <w:szCs w:val="20"/>
          <w:highlight w:val="none"/>
        </w:rPr>
        <w:t>填写变更记录单，对变更的原因和讨论结果加以记录</w:t>
      </w:r>
      <w:r>
        <w:rPr>
          <w:rFonts w:hint="eastAsia" w:ascii="仿宋_GB2312" w:hAnsi="Times New Roman" w:eastAsia="仿宋_GB2312" w:cs="Times New Roman"/>
          <w:b w:val="0"/>
          <w:bCs w:val="0"/>
          <w:color w:val="auto"/>
          <w:kern w:val="0"/>
          <w:sz w:val="24"/>
          <w:szCs w:val="20"/>
          <w:highlight w:val="none"/>
          <w:lang w:eastAsia="zh-CN"/>
        </w:rPr>
        <w:t>。</w:t>
      </w:r>
      <w:r>
        <w:rPr>
          <w:rFonts w:hint="eastAsia" w:ascii="仿宋_GB2312" w:hAnsi="Times New Roman" w:eastAsia="仿宋_GB2312" w:cs="Times New Roman"/>
          <w:b w:val="0"/>
          <w:bCs w:val="0"/>
          <w:color w:val="auto"/>
          <w:kern w:val="0"/>
          <w:sz w:val="24"/>
          <w:szCs w:val="20"/>
          <w:highlight w:val="none"/>
        </w:rPr>
        <w:t>评估变更影响的程度</w:t>
      </w:r>
      <w:r>
        <w:rPr>
          <w:rFonts w:hint="eastAsia" w:ascii="仿宋_GB2312" w:hAnsi="Times New Roman" w:eastAsia="仿宋_GB2312" w:cs="Times New Roman"/>
          <w:b w:val="0"/>
          <w:bCs w:val="0"/>
          <w:color w:val="auto"/>
          <w:kern w:val="0"/>
          <w:sz w:val="24"/>
          <w:szCs w:val="20"/>
          <w:highlight w:val="none"/>
          <w:lang w:eastAsia="zh-CN"/>
        </w:rPr>
        <w:t>，</w:t>
      </w:r>
      <w:r>
        <w:rPr>
          <w:rFonts w:hint="eastAsia" w:ascii="仿宋_GB2312" w:hAnsi="Times New Roman" w:eastAsia="仿宋_GB2312" w:cs="Times New Roman"/>
          <w:b w:val="0"/>
          <w:bCs w:val="0"/>
          <w:color w:val="auto"/>
          <w:kern w:val="0"/>
          <w:sz w:val="24"/>
          <w:szCs w:val="20"/>
          <w:highlight w:val="none"/>
        </w:rPr>
        <w:t>提交项目指导委员会，确定是否接受变更带来的影响</w:t>
      </w:r>
      <w:r>
        <w:rPr>
          <w:rFonts w:hint="eastAsia" w:ascii="仿宋_GB2312" w:hAnsi="Times New Roman" w:eastAsia="仿宋_GB2312" w:cs="Times New Roman"/>
          <w:b w:val="0"/>
          <w:bCs w:val="0"/>
          <w:color w:val="auto"/>
          <w:kern w:val="0"/>
          <w:sz w:val="24"/>
          <w:szCs w:val="20"/>
          <w:highlight w:val="none"/>
          <w:lang w:eastAsia="zh-CN"/>
        </w:rPr>
        <w:t>。</w:t>
      </w:r>
      <w:r>
        <w:rPr>
          <w:rFonts w:hint="eastAsia" w:ascii="仿宋_GB2312" w:hAnsi="Times New Roman" w:eastAsia="仿宋_GB2312" w:cs="Times New Roman"/>
          <w:b w:val="0"/>
          <w:bCs w:val="0"/>
          <w:color w:val="auto"/>
          <w:kern w:val="0"/>
          <w:sz w:val="24"/>
          <w:szCs w:val="20"/>
          <w:highlight w:val="none"/>
        </w:rPr>
        <w:t>对项目计划和需求文档进行调整并通知相关部门</w:t>
      </w:r>
      <w:r>
        <w:rPr>
          <w:rFonts w:hint="eastAsia" w:ascii="仿宋_GB2312" w:hAnsi="Times New Roman" w:eastAsia="仿宋_GB2312" w:cs="Times New Roman"/>
          <w:b w:val="0"/>
          <w:bCs w:val="0"/>
          <w:color w:val="auto"/>
          <w:kern w:val="0"/>
          <w:sz w:val="24"/>
          <w:szCs w:val="20"/>
          <w:highlight w:val="none"/>
          <w:lang w:eastAsia="zh-CN"/>
        </w:rPr>
        <w:t>。</w:t>
      </w:r>
    </w:p>
    <w:p w14:paraId="116D2CD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US" w:eastAsia="zh-CN"/>
        </w:rPr>
      </w:pPr>
      <w:bookmarkStart w:id="29" w:name="_Toc1545678906"/>
      <w:r>
        <w:rPr>
          <w:rFonts w:hint="eastAsia" w:ascii="仿宋_GB2312" w:hAnsi="Times New Roman" w:eastAsia="仿宋_GB2312" w:cs="Times New Roman"/>
          <w:b w:val="0"/>
          <w:bCs w:val="0"/>
          <w:color w:val="auto"/>
          <w:kern w:val="0"/>
          <w:sz w:val="24"/>
          <w:szCs w:val="20"/>
          <w:highlight w:val="none"/>
          <w:lang w:val="en-US" w:eastAsia="zh-CN"/>
        </w:rPr>
        <w:t>沟通管理</w:t>
      </w:r>
      <w:bookmarkEnd w:id="29"/>
    </w:p>
    <w:p w14:paraId="37CC351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项目沟通渠道</w:t>
      </w:r>
    </w:p>
    <w:p w14:paraId="42A5933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实施过程中关于需求和变更等事项的沟通均应在双方项目经理之间进行，以保证沟通的有效性。</w:t>
      </w:r>
    </w:p>
    <w:p w14:paraId="54A7D7D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项目报告</w:t>
      </w:r>
    </w:p>
    <w:p w14:paraId="079FED61">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AU"/>
        </w:rPr>
      </w:pPr>
      <w:r>
        <w:rPr>
          <w:rFonts w:hint="eastAsia" w:ascii="仿宋_GB2312" w:hAnsi="Times New Roman" w:eastAsia="仿宋_GB2312" w:cs="Times New Roman"/>
          <w:b w:val="0"/>
          <w:bCs w:val="0"/>
          <w:color w:val="auto"/>
          <w:kern w:val="0"/>
          <w:sz w:val="24"/>
          <w:szCs w:val="20"/>
          <w:highlight w:val="none"/>
        </w:rPr>
        <w:t>为保证项目按计划实施，项目组定期向</w:t>
      </w:r>
      <w:r>
        <w:rPr>
          <w:rFonts w:hint="eastAsia" w:ascii="仿宋_GB2312" w:hAnsi="Times New Roman" w:eastAsia="仿宋_GB2312" w:cs="Times New Roman"/>
          <w:b w:val="0"/>
          <w:bCs w:val="0"/>
          <w:color w:val="auto"/>
          <w:kern w:val="0"/>
          <w:sz w:val="24"/>
          <w:szCs w:val="20"/>
          <w:highlight w:val="none"/>
          <w:lang w:val="en-US" w:eastAsia="zh-CN"/>
        </w:rPr>
        <w:t>我方</w:t>
      </w:r>
      <w:r>
        <w:rPr>
          <w:rFonts w:hint="eastAsia" w:ascii="仿宋_GB2312" w:hAnsi="Times New Roman" w:eastAsia="仿宋_GB2312" w:cs="Times New Roman"/>
          <w:b w:val="0"/>
          <w:bCs w:val="0"/>
          <w:color w:val="auto"/>
          <w:kern w:val="0"/>
          <w:sz w:val="24"/>
          <w:szCs w:val="20"/>
          <w:highlight w:val="none"/>
        </w:rPr>
        <w:t>报告项目进展情况。</w:t>
      </w:r>
    </w:p>
    <w:p w14:paraId="456BCAE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AU"/>
        </w:rPr>
      </w:pPr>
      <w:r>
        <w:rPr>
          <w:rFonts w:hint="eastAsia" w:ascii="仿宋_GB2312" w:hAnsi="Times New Roman" w:eastAsia="仿宋_GB2312" w:cs="Times New Roman"/>
          <w:b w:val="0"/>
          <w:bCs w:val="0"/>
          <w:color w:val="auto"/>
          <w:kern w:val="0"/>
          <w:sz w:val="24"/>
          <w:szCs w:val="20"/>
          <w:highlight w:val="none"/>
        </w:rPr>
        <w:t>报告应以标准格式进行，此格式在项目准备阶段进行设计并得到双方确认。</w:t>
      </w:r>
    </w:p>
    <w:p w14:paraId="6ABC564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下表为建议的报告内容 </w:t>
      </w:r>
    </w:p>
    <w:p w14:paraId="2AF6D1E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center"/>
        <w:textAlignment w:val="baseline"/>
        <w:rPr>
          <w:rFonts w:hint="default" w:ascii="Times New Roman" w:hAnsi="Times New Roman" w:cs="Times New Roman"/>
          <w:b w:val="0"/>
          <w:bCs w:val="0"/>
          <w:color w:val="auto"/>
          <w:kern w:val="0"/>
          <w:sz w:val="24"/>
          <w:szCs w:val="20"/>
          <w:highlight w:val="none"/>
          <w:lang w:val="en-US"/>
        </w:rPr>
      </w:pPr>
      <w:r>
        <w:rPr>
          <w:rFonts w:hint="eastAsia" w:ascii="仿宋_GB2312" w:hAnsi="仿宋_GB2312" w:eastAsia="仿宋_GB2312" w:cs="仿宋_GB2312"/>
          <w:b w:val="0"/>
          <w:bCs w:val="0"/>
          <w:color w:val="auto"/>
          <w:kern w:val="0"/>
          <w:sz w:val="24"/>
          <w:szCs w:val="20"/>
          <w:highlight w:val="none"/>
        </w:rPr>
        <w:t>表</w:t>
      </w:r>
      <w:r>
        <w:rPr>
          <w:rFonts w:hint="eastAsia" w:ascii="仿宋_GB2312" w:hAnsi="仿宋_GB2312" w:eastAsia="仿宋_GB2312" w:cs="仿宋_GB2312"/>
          <w:b w:val="0"/>
          <w:bCs w:val="0"/>
          <w:color w:val="auto"/>
          <w:kern w:val="0"/>
          <w:sz w:val="24"/>
          <w:szCs w:val="20"/>
          <w:highlight w:val="none"/>
          <w:lang w:val="en-US" w:eastAsia="zh-CN"/>
        </w:rPr>
        <w:t xml:space="preserve">7 </w:t>
      </w:r>
      <w:r>
        <w:rPr>
          <w:rFonts w:hint="eastAsia" w:ascii="仿宋_GB2312" w:hAnsi="Times New Roman" w:eastAsia="仿宋_GB2312" w:cs="Times New Roman"/>
          <w:b w:val="0"/>
          <w:bCs w:val="0"/>
          <w:color w:val="auto"/>
          <w:kern w:val="0"/>
          <w:sz w:val="24"/>
          <w:szCs w:val="20"/>
          <w:highlight w:val="none"/>
          <w:lang w:val="en-US" w:eastAsia="zh-CN"/>
        </w:rPr>
        <w:t>项目会议</w:t>
      </w:r>
    </w:p>
    <w:tbl>
      <w:tblPr>
        <w:tblStyle w:val="4"/>
        <w:tblW w:w="810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843"/>
        <w:gridCol w:w="1843"/>
        <w:gridCol w:w="2794"/>
        <w:gridCol w:w="1620"/>
      </w:tblGrid>
      <w:tr w14:paraId="6D29EB1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blHeader/>
          <w:jc w:val="center"/>
        </w:trPr>
        <w:tc>
          <w:tcPr>
            <w:tcW w:w="1843" w:type="dxa"/>
            <w:tcBorders>
              <w:top w:val="single" w:color="000000" w:sz="12" w:space="0"/>
              <w:left w:val="single" w:color="000000" w:sz="12" w:space="0"/>
              <w:bottom w:val="single" w:color="000000" w:sz="12" w:space="0"/>
              <w:right w:val="single" w:color="000000" w:sz="12" w:space="0"/>
            </w:tcBorders>
            <w:shd w:val="clear" w:color="auto" w:fill="F3F3F3"/>
            <w:noWrap w:val="0"/>
            <w:vAlign w:val="top"/>
          </w:tcPr>
          <w:p w14:paraId="0E8B49B6">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GB" w:eastAsia="zh-CN"/>
              </w:rPr>
            </w:pPr>
            <w:r>
              <w:rPr>
                <w:rFonts w:hint="eastAsia" w:ascii="仿宋_GB2312" w:hAnsi="仿宋_GB2312" w:eastAsia="仿宋_GB2312" w:cs="仿宋_GB2312"/>
                <w:b w:val="0"/>
                <w:bCs w:val="0"/>
                <w:color w:val="auto"/>
                <w:kern w:val="0"/>
                <w:sz w:val="24"/>
                <w:szCs w:val="20"/>
                <w:highlight w:val="none"/>
                <w:vertAlign w:val="baseline"/>
                <w:lang w:val="en-GB" w:eastAsia="zh-CN"/>
              </w:rPr>
              <w:t>报告名称</w:t>
            </w:r>
          </w:p>
        </w:tc>
        <w:tc>
          <w:tcPr>
            <w:tcW w:w="1843" w:type="dxa"/>
            <w:tcBorders>
              <w:top w:val="single" w:color="000000" w:sz="12" w:space="0"/>
              <w:left w:val="single" w:color="000000" w:sz="12" w:space="0"/>
              <w:bottom w:val="single" w:color="000000" w:sz="12" w:space="0"/>
              <w:right w:val="single" w:color="000000" w:sz="12" w:space="0"/>
            </w:tcBorders>
            <w:shd w:val="clear" w:color="auto" w:fill="F3F3F3"/>
            <w:noWrap w:val="0"/>
            <w:vAlign w:val="top"/>
          </w:tcPr>
          <w:p w14:paraId="19A726A1">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GB" w:eastAsia="zh-CN"/>
              </w:rPr>
            </w:pPr>
            <w:r>
              <w:rPr>
                <w:rFonts w:hint="eastAsia" w:ascii="仿宋_GB2312" w:hAnsi="仿宋_GB2312" w:eastAsia="仿宋_GB2312" w:cs="仿宋_GB2312"/>
                <w:b w:val="0"/>
                <w:bCs w:val="0"/>
                <w:color w:val="auto"/>
                <w:kern w:val="0"/>
                <w:sz w:val="24"/>
                <w:szCs w:val="20"/>
                <w:highlight w:val="none"/>
                <w:vertAlign w:val="baseline"/>
                <w:lang w:val="en-GB" w:eastAsia="zh-CN"/>
              </w:rPr>
              <w:t>发送者</w:t>
            </w:r>
          </w:p>
        </w:tc>
        <w:tc>
          <w:tcPr>
            <w:tcW w:w="2794" w:type="dxa"/>
            <w:tcBorders>
              <w:top w:val="single" w:color="000000" w:sz="12" w:space="0"/>
              <w:left w:val="single" w:color="000000" w:sz="12" w:space="0"/>
              <w:bottom w:val="single" w:color="000000" w:sz="12" w:space="0"/>
              <w:right w:val="single" w:color="000000" w:sz="12" w:space="0"/>
            </w:tcBorders>
            <w:shd w:val="clear" w:color="auto" w:fill="F3F3F3"/>
            <w:noWrap w:val="0"/>
            <w:vAlign w:val="top"/>
          </w:tcPr>
          <w:p w14:paraId="15A10BA0">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GB" w:eastAsia="zh-CN"/>
              </w:rPr>
            </w:pPr>
            <w:r>
              <w:rPr>
                <w:rFonts w:hint="eastAsia" w:ascii="仿宋_GB2312" w:hAnsi="仿宋_GB2312" w:eastAsia="仿宋_GB2312" w:cs="仿宋_GB2312"/>
                <w:b w:val="0"/>
                <w:bCs w:val="0"/>
                <w:color w:val="auto"/>
                <w:kern w:val="0"/>
                <w:sz w:val="24"/>
                <w:szCs w:val="20"/>
                <w:highlight w:val="none"/>
                <w:vertAlign w:val="baseline"/>
                <w:lang w:val="en-GB" w:eastAsia="zh-CN"/>
              </w:rPr>
              <w:t>接收者</w:t>
            </w:r>
          </w:p>
        </w:tc>
        <w:tc>
          <w:tcPr>
            <w:tcW w:w="1620" w:type="dxa"/>
            <w:tcBorders>
              <w:top w:val="single" w:color="000000" w:sz="12" w:space="0"/>
              <w:left w:val="single" w:color="000000" w:sz="12" w:space="0"/>
              <w:bottom w:val="single" w:color="000000" w:sz="12" w:space="0"/>
              <w:right w:val="single" w:color="000000" w:sz="12" w:space="0"/>
            </w:tcBorders>
            <w:shd w:val="clear" w:color="auto" w:fill="F3F3F3"/>
            <w:noWrap w:val="0"/>
            <w:vAlign w:val="top"/>
          </w:tcPr>
          <w:p w14:paraId="57BD3E3C">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GB" w:eastAsia="zh-CN"/>
              </w:rPr>
            </w:pPr>
            <w:r>
              <w:rPr>
                <w:rFonts w:hint="eastAsia" w:ascii="仿宋_GB2312" w:hAnsi="仿宋_GB2312" w:eastAsia="仿宋_GB2312" w:cs="仿宋_GB2312"/>
                <w:b w:val="0"/>
                <w:bCs w:val="0"/>
                <w:color w:val="auto"/>
                <w:kern w:val="0"/>
                <w:sz w:val="24"/>
                <w:szCs w:val="20"/>
                <w:highlight w:val="none"/>
                <w:vertAlign w:val="baseline"/>
                <w:lang w:val="en-GB" w:eastAsia="zh-CN"/>
              </w:rPr>
              <w:t>频率</w:t>
            </w:r>
          </w:p>
        </w:tc>
      </w:tr>
      <w:tr w14:paraId="48378E5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jc w:val="center"/>
        </w:trPr>
        <w:tc>
          <w:tcPr>
            <w:tcW w:w="1843" w:type="dxa"/>
            <w:tcBorders>
              <w:top w:val="single" w:color="000000" w:sz="12" w:space="0"/>
              <w:left w:val="single" w:color="000000" w:sz="6" w:space="0"/>
              <w:bottom w:val="single" w:color="000000" w:sz="6" w:space="0"/>
              <w:right w:val="single" w:color="000000" w:sz="6" w:space="0"/>
            </w:tcBorders>
            <w:noWrap w:val="0"/>
            <w:vAlign w:val="center"/>
          </w:tcPr>
          <w:p w14:paraId="7CB957E8">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项目进展报告</w:t>
            </w:r>
          </w:p>
          <w:p w14:paraId="7579B7A2">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风险评估报告</w:t>
            </w:r>
          </w:p>
        </w:tc>
        <w:tc>
          <w:tcPr>
            <w:tcW w:w="1843" w:type="dxa"/>
            <w:tcBorders>
              <w:top w:val="single" w:color="000000" w:sz="12" w:space="0"/>
              <w:left w:val="single" w:color="000000" w:sz="6" w:space="0"/>
              <w:bottom w:val="single" w:color="000000" w:sz="6" w:space="0"/>
              <w:right w:val="single" w:color="000000" w:sz="6" w:space="0"/>
            </w:tcBorders>
            <w:noWrap w:val="0"/>
            <w:vAlign w:val="center"/>
          </w:tcPr>
          <w:p w14:paraId="3B2809C9">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双方项目经理</w:t>
            </w:r>
          </w:p>
        </w:tc>
        <w:tc>
          <w:tcPr>
            <w:tcW w:w="2794" w:type="dxa"/>
            <w:tcBorders>
              <w:top w:val="single" w:color="000000" w:sz="12" w:space="0"/>
              <w:left w:val="single" w:color="000000" w:sz="6" w:space="0"/>
              <w:bottom w:val="single" w:color="000000" w:sz="6" w:space="0"/>
              <w:right w:val="single" w:color="000000" w:sz="6" w:space="0"/>
            </w:tcBorders>
            <w:noWrap w:val="0"/>
            <w:vAlign w:val="center"/>
          </w:tcPr>
          <w:p w14:paraId="260D388D">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项目指导委员会成员</w:t>
            </w:r>
          </w:p>
          <w:p w14:paraId="36BFD4E3">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公司项目管理部</w:t>
            </w:r>
          </w:p>
        </w:tc>
        <w:tc>
          <w:tcPr>
            <w:tcW w:w="1620" w:type="dxa"/>
            <w:tcBorders>
              <w:top w:val="single" w:color="000000" w:sz="12" w:space="0"/>
              <w:left w:val="single" w:color="000000" w:sz="6" w:space="0"/>
              <w:bottom w:val="single" w:color="000000" w:sz="6" w:space="0"/>
              <w:right w:val="single" w:color="000000" w:sz="6" w:space="0"/>
            </w:tcBorders>
            <w:noWrap w:val="0"/>
            <w:vAlign w:val="center"/>
          </w:tcPr>
          <w:p w14:paraId="7F268C9D">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至少每月一次</w:t>
            </w:r>
          </w:p>
        </w:tc>
      </w:tr>
      <w:tr w14:paraId="42E652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jc w:val="center"/>
        </w:trPr>
        <w:tc>
          <w:tcPr>
            <w:tcW w:w="1843" w:type="dxa"/>
            <w:tcBorders>
              <w:top w:val="single" w:color="000000" w:sz="6" w:space="0"/>
              <w:left w:val="single" w:color="000000" w:sz="6" w:space="0"/>
              <w:bottom w:val="single" w:color="000000" w:sz="6" w:space="0"/>
              <w:right w:val="single" w:color="000000" w:sz="6" w:space="0"/>
            </w:tcBorders>
            <w:noWrap w:val="0"/>
            <w:vAlign w:val="center"/>
          </w:tcPr>
          <w:p w14:paraId="39733F50">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项目周报</w:t>
            </w:r>
          </w:p>
        </w:tc>
        <w:tc>
          <w:tcPr>
            <w:tcW w:w="1843" w:type="dxa"/>
            <w:tcBorders>
              <w:top w:val="single" w:color="000000" w:sz="6" w:space="0"/>
              <w:left w:val="single" w:color="000000" w:sz="6" w:space="0"/>
              <w:bottom w:val="single" w:color="000000" w:sz="6" w:space="0"/>
              <w:right w:val="single" w:color="000000" w:sz="6" w:space="0"/>
            </w:tcBorders>
            <w:noWrap w:val="0"/>
            <w:vAlign w:val="center"/>
          </w:tcPr>
          <w:p w14:paraId="762D08C6">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双方项目经理</w:t>
            </w:r>
          </w:p>
        </w:tc>
        <w:tc>
          <w:tcPr>
            <w:tcW w:w="2794" w:type="dxa"/>
            <w:tcBorders>
              <w:top w:val="single" w:color="000000" w:sz="6" w:space="0"/>
              <w:left w:val="single" w:color="000000" w:sz="6" w:space="0"/>
              <w:bottom w:val="single" w:color="000000" w:sz="6" w:space="0"/>
              <w:right w:val="single" w:color="000000" w:sz="6" w:space="0"/>
            </w:tcBorders>
            <w:noWrap w:val="0"/>
            <w:vAlign w:val="center"/>
          </w:tcPr>
          <w:p w14:paraId="51D7AAC8">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项目指导委员会成员</w:t>
            </w:r>
          </w:p>
          <w:p w14:paraId="291791EB">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公司项目管理部</w:t>
            </w:r>
          </w:p>
        </w:tc>
        <w:tc>
          <w:tcPr>
            <w:tcW w:w="1620" w:type="dxa"/>
            <w:tcBorders>
              <w:top w:val="single" w:color="000000" w:sz="6" w:space="0"/>
              <w:left w:val="single" w:color="000000" w:sz="6" w:space="0"/>
              <w:bottom w:val="single" w:color="000000" w:sz="6" w:space="0"/>
              <w:right w:val="single" w:color="000000" w:sz="6" w:space="0"/>
            </w:tcBorders>
            <w:noWrap w:val="0"/>
            <w:vAlign w:val="center"/>
          </w:tcPr>
          <w:p w14:paraId="03A1FAE4">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每周一次</w:t>
            </w:r>
          </w:p>
        </w:tc>
      </w:tr>
      <w:tr w14:paraId="7548FB2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jc w:val="center"/>
        </w:trPr>
        <w:tc>
          <w:tcPr>
            <w:tcW w:w="1843" w:type="dxa"/>
            <w:tcBorders>
              <w:top w:val="single" w:color="000000" w:sz="6" w:space="0"/>
              <w:left w:val="single" w:color="000000" w:sz="6" w:space="0"/>
              <w:bottom w:val="single" w:color="000000" w:sz="6" w:space="0"/>
              <w:right w:val="single" w:color="000000" w:sz="6" w:space="0"/>
            </w:tcBorders>
            <w:noWrap w:val="0"/>
            <w:vAlign w:val="center"/>
          </w:tcPr>
          <w:p w14:paraId="7A4BB691">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会议纪要</w:t>
            </w:r>
          </w:p>
        </w:tc>
        <w:tc>
          <w:tcPr>
            <w:tcW w:w="1843" w:type="dxa"/>
            <w:tcBorders>
              <w:top w:val="single" w:color="000000" w:sz="6" w:space="0"/>
              <w:left w:val="single" w:color="000000" w:sz="6" w:space="0"/>
              <w:bottom w:val="single" w:color="000000" w:sz="6" w:space="0"/>
              <w:right w:val="single" w:color="000000" w:sz="6" w:space="0"/>
            </w:tcBorders>
            <w:noWrap w:val="0"/>
            <w:vAlign w:val="center"/>
          </w:tcPr>
          <w:p w14:paraId="072F2BBE">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双方项目经理</w:t>
            </w:r>
          </w:p>
        </w:tc>
        <w:tc>
          <w:tcPr>
            <w:tcW w:w="2794" w:type="dxa"/>
            <w:tcBorders>
              <w:top w:val="single" w:color="000000" w:sz="6" w:space="0"/>
              <w:left w:val="single" w:color="000000" w:sz="6" w:space="0"/>
              <w:bottom w:val="single" w:color="000000" w:sz="6" w:space="0"/>
              <w:right w:val="single" w:color="000000" w:sz="6" w:space="0"/>
            </w:tcBorders>
            <w:noWrap w:val="0"/>
            <w:vAlign w:val="center"/>
          </w:tcPr>
          <w:p w14:paraId="05225672">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项目指导委员会成员</w:t>
            </w:r>
          </w:p>
          <w:p w14:paraId="21580BB2">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公司项目管理部</w:t>
            </w:r>
          </w:p>
        </w:tc>
        <w:tc>
          <w:tcPr>
            <w:tcW w:w="1620" w:type="dxa"/>
            <w:tcBorders>
              <w:top w:val="single" w:color="000000" w:sz="6" w:space="0"/>
              <w:left w:val="single" w:color="000000" w:sz="6" w:space="0"/>
              <w:bottom w:val="single" w:color="000000" w:sz="6" w:space="0"/>
              <w:right w:val="single" w:color="000000" w:sz="6" w:space="0"/>
            </w:tcBorders>
            <w:noWrap w:val="0"/>
            <w:vAlign w:val="center"/>
          </w:tcPr>
          <w:p w14:paraId="1F337DA9">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r>
      <w:tr w14:paraId="561B342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jc w:val="center"/>
        </w:trPr>
        <w:tc>
          <w:tcPr>
            <w:tcW w:w="1843" w:type="dxa"/>
            <w:tcBorders>
              <w:top w:val="single" w:color="000000" w:sz="6" w:space="0"/>
              <w:left w:val="single" w:color="000000" w:sz="6" w:space="0"/>
              <w:bottom w:val="single" w:color="000000" w:sz="6" w:space="0"/>
              <w:right w:val="single" w:color="000000" w:sz="6" w:space="0"/>
            </w:tcBorders>
            <w:noWrap w:val="0"/>
            <w:vAlign w:val="center"/>
          </w:tcPr>
          <w:p w14:paraId="119CF55D">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问题记录</w:t>
            </w:r>
          </w:p>
        </w:tc>
        <w:tc>
          <w:tcPr>
            <w:tcW w:w="1843" w:type="dxa"/>
            <w:tcBorders>
              <w:top w:val="single" w:color="000000" w:sz="6" w:space="0"/>
              <w:left w:val="single" w:color="000000" w:sz="6" w:space="0"/>
              <w:bottom w:val="single" w:color="000000" w:sz="6" w:space="0"/>
              <w:right w:val="single" w:color="000000" w:sz="6" w:space="0"/>
            </w:tcBorders>
            <w:noWrap w:val="0"/>
            <w:vAlign w:val="center"/>
          </w:tcPr>
          <w:p w14:paraId="4592F65D">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双方项目经理</w:t>
            </w:r>
          </w:p>
        </w:tc>
        <w:tc>
          <w:tcPr>
            <w:tcW w:w="2794" w:type="dxa"/>
            <w:tcBorders>
              <w:top w:val="single" w:color="000000" w:sz="6" w:space="0"/>
              <w:left w:val="single" w:color="000000" w:sz="6" w:space="0"/>
              <w:bottom w:val="single" w:color="000000" w:sz="6" w:space="0"/>
              <w:right w:val="single" w:color="000000" w:sz="6" w:space="0"/>
            </w:tcBorders>
            <w:noWrap w:val="0"/>
            <w:vAlign w:val="center"/>
          </w:tcPr>
          <w:p w14:paraId="4365B8B4">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项目指导委员会成员</w:t>
            </w:r>
          </w:p>
          <w:p w14:paraId="6783467E">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公司项目管理部</w:t>
            </w:r>
          </w:p>
        </w:tc>
        <w:tc>
          <w:tcPr>
            <w:tcW w:w="1620" w:type="dxa"/>
            <w:tcBorders>
              <w:top w:val="single" w:color="000000" w:sz="6" w:space="0"/>
              <w:left w:val="single" w:color="000000" w:sz="6" w:space="0"/>
              <w:bottom w:val="single" w:color="000000" w:sz="6" w:space="0"/>
              <w:right w:val="single" w:color="000000" w:sz="6" w:space="0"/>
            </w:tcBorders>
            <w:noWrap w:val="0"/>
            <w:vAlign w:val="center"/>
          </w:tcPr>
          <w:p w14:paraId="6BDAF9CE">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每周一次</w:t>
            </w:r>
          </w:p>
        </w:tc>
      </w:tr>
    </w:tbl>
    <w:p w14:paraId="7CEB2A4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周例会：双方项目经理和骨干人员每周四下午开项目周会，总结本周工作，计划下周工作。</w:t>
      </w:r>
    </w:p>
    <w:p w14:paraId="0009C728">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月例会：项目指导委员会成员每月召开会议，通报项目进度，解决实施中的问题。</w:t>
      </w:r>
    </w:p>
    <w:p w14:paraId="0E3A9CC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里程碑会议：每个阶段结束时或有重大项目里程碑时，双方召开会议对阶段性工作成果进行检查和确认。</w:t>
      </w:r>
    </w:p>
    <w:p w14:paraId="5F78A46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每次会议召开前应对会议内容进行计划，会后提交会议纪要。</w:t>
      </w:r>
    </w:p>
    <w:p w14:paraId="3D9E2ADD">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30" w:name="_Toc115695383"/>
      <w:r>
        <w:rPr>
          <w:rFonts w:hint="eastAsia" w:ascii="黑体" w:hAnsi="黑体" w:eastAsia="黑体" w:cs="黑体"/>
          <w:b w:val="0"/>
          <w:bCs w:val="0"/>
          <w:color w:val="auto"/>
          <w:sz w:val="24"/>
          <w:szCs w:val="30"/>
          <w:highlight w:val="none"/>
          <w:lang w:val="en-US" w:eastAsia="zh-CN" w:bidi="ar-SA"/>
        </w:rPr>
        <w:t>进度管理</w:t>
      </w:r>
      <w:bookmarkEnd w:id="30"/>
    </w:p>
    <w:p w14:paraId="6C3AF65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进度控制会议</w:t>
      </w:r>
    </w:p>
    <w:p w14:paraId="1DCD66B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lang w:val="en-US" w:eastAsia="zh-CN"/>
        </w:rPr>
        <w:t>要求</w:t>
      </w:r>
      <w:r>
        <w:rPr>
          <w:rFonts w:hint="eastAsia" w:ascii="仿宋_GB2312" w:hAnsi="Times New Roman" w:eastAsia="仿宋_GB2312" w:cs="Times New Roman"/>
          <w:b w:val="0"/>
          <w:bCs w:val="0"/>
          <w:color w:val="auto"/>
          <w:kern w:val="0"/>
          <w:sz w:val="24"/>
          <w:szCs w:val="20"/>
          <w:highlight w:val="none"/>
        </w:rPr>
        <w:t>项目承建公司定期举行项目进展报告会，内容包括（但不限于）如下：</w:t>
      </w:r>
    </w:p>
    <w:p w14:paraId="72D58851">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每周向院方项目经理报告一次。</w:t>
      </w:r>
    </w:p>
    <w:p w14:paraId="7DE7E8E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每月</w:t>
      </w:r>
      <w:r>
        <w:rPr>
          <w:rFonts w:hint="eastAsia" w:ascii="仿宋_GB2312" w:hAnsi="Times New Roman" w:eastAsia="仿宋_GB2312" w:cs="Times New Roman"/>
          <w:b w:val="0"/>
          <w:bCs w:val="0"/>
          <w:color w:val="auto"/>
          <w:kern w:val="0"/>
          <w:sz w:val="24"/>
          <w:szCs w:val="20"/>
          <w:highlight w:val="none"/>
          <w:lang w:val="en-US" w:eastAsia="zh-CN"/>
        </w:rPr>
        <w:t>项目经理组织</w:t>
      </w:r>
      <w:r>
        <w:rPr>
          <w:rFonts w:hint="eastAsia" w:ascii="仿宋_GB2312" w:hAnsi="Times New Roman" w:eastAsia="仿宋_GB2312" w:cs="Times New Roman"/>
          <w:b w:val="0"/>
          <w:bCs w:val="0"/>
          <w:color w:val="auto"/>
          <w:kern w:val="0"/>
          <w:sz w:val="24"/>
          <w:szCs w:val="20"/>
          <w:highlight w:val="none"/>
        </w:rPr>
        <w:t>开发负责人</w:t>
      </w:r>
      <w:r>
        <w:rPr>
          <w:rFonts w:hint="eastAsia" w:ascii="仿宋_GB2312" w:hAnsi="Times New Roman" w:eastAsia="仿宋_GB2312" w:cs="Times New Roman"/>
          <w:b w:val="0"/>
          <w:bCs w:val="0"/>
          <w:color w:val="auto"/>
          <w:kern w:val="0"/>
          <w:sz w:val="24"/>
          <w:szCs w:val="20"/>
          <w:highlight w:val="none"/>
          <w:lang w:val="en-US" w:eastAsia="zh-CN"/>
        </w:rPr>
        <w:t>与我方项目负责人</w:t>
      </w:r>
      <w:r>
        <w:rPr>
          <w:rFonts w:hint="eastAsia" w:ascii="仿宋_GB2312" w:hAnsi="Times New Roman" w:eastAsia="仿宋_GB2312" w:cs="Times New Roman"/>
          <w:b w:val="0"/>
          <w:bCs w:val="0"/>
          <w:color w:val="auto"/>
          <w:kern w:val="0"/>
          <w:sz w:val="24"/>
          <w:szCs w:val="20"/>
          <w:highlight w:val="none"/>
        </w:rPr>
        <w:t>会面一次，并与主要用户会面交流一次。</w:t>
      </w:r>
    </w:p>
    <w:p w14:paraId="5416FDB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项目进度的更新报告</w:t>
      </w:r>
    </w:p>
    <w:p w14:paraId="05E9616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更新报告应包括如下内容：</w:t>
      </w:r>
    </w:p>
    <w:p w14:paraId="2D0B119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未完成的任务：在进度报告周期内未完成的任务、在未完成情况下，补救的措施及双方同意的更新的进度表；</w:t>
      </w:r>
    </w:p>
    <w:p w14:paraId="45FC1228">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重要的成果和达到重要目标；</w:t>
      </w:r>
    </w:p>
    <w:p w14:paraId="2E6F67E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项目人事变动：新旧成员交替、人员离职；</w:t>
      </w:r>
    </w:p>
    <w:p w14:paraId="5C74655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特殊事件：技术性的、系统和应用的、管理的改变；</w:t>
      </w:r>
    </w:p>
    <w:p w14:paraId="67EB4A0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当前的主要风险。</w:t>
      </w:r>
    </w:p>
    <w:p w14:paraId="1C660A1C">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31" w:name="_Toc1019601546"/>
      <w:r>
        <w:rPr>
          <w:rFonts w:hint="eastAsia" w:ascii="黑体" w:hAnsi="黑体" w:eastAsia="黑体" w:cs="黑体"/>
          <w:b w:val="0"/>
          <w:bCs w:val="0"/>
          <w:color w:val="auto"/>
          <w:sz w:val="24"/>
          <w:szCs w:val="30"/>
          <w:highlight w:val="none"/>
          <w:lang w:val="en-US" w:eastAsia="zh-CN" w:bidi="ar-SA"/>
        </w:rPr>
        <w:t>测试管理</w:t>
      </w:r>
      <w:bookmarkEnd w:id="31"/>
    </w:p>
    <w:p w14:paraId="029FF94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项目整体测试</w:t>
      </w:r>
    </w:p>
    <w:p w14:paraId="782DAB1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测试是保证软件运行正确性的重要手段。项目承建公司项目实施过程中，测试的相关工作贯穿在项目实施全程中，而不仅仅是上线前。</w:t>
      </w:r>
    </w:p>
    <w:p w14:paraId="73CF037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在计划阶段，提出需求时就要考虑如何进行功能验证并编制测试用例，这样能够使需求更加明确和具体。更能帮助开发人员和质控测试人员更好地理解需求，最重要的是为功能验收提出了确定的标准。</w:t>
      </w:r>
    </w:p>
    <w:p w14:paraId="7BFD6FF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在开发阶段，开发人员通过测试用例进行自查，测试人员根据测试用例编制详细的测试计划，对功能的正确性和完整性进行验证。</w:t>
      </w:r>
    </w:p>
    <w:p w14:paraId="1D25E04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在实施阶段，客户化开发的程序发到项目现场后，现场实施人员和高级客户根据测试用例进行功能确认。</w:t>
      </w:r>
    </w:p>
    <w:p w14:paraId="175CE03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 xml:space="preserve">在实施过程中，测试计划和测试用例不是一成不变的，而是要不断进行细化才能达到验证系统的作用。    </w:t>
      </w:r>
    </w:p>
    <w:p w14:paraId="00BD1A81">
      <w:pPr>
        <w:adjustRightInd w:val="0"/>
        <w:spacing w:before="60" w:after="60" w:line="360" w:lineRule="auto"/>
        <w:ind w:firstLine="480"/>
        <w:textAlignment w:val="baseline"/>
        <w:rPr>
          <w:rFonts w:hint="eastAsia" w:ascii="仿宋_GB2312" w:hAnsi="仿宋_GB2312" w:eastAsia="仿宋_GB2312" w:cs="仿宋_GB2312"/>
          <w:b w:val="0"/>
          <w:bCs w:val="0"/>
          <w:color w:val="auto"/>
          <w:kern w:val="0"/>
          <w:sz w:val="24"/>
          <w:szCs w:val="20"/>
          <w:highlight w:val="none"/>
          <w:lang w:val="en-US" w:eastAsia="zh-CN"/>
        </w:rPr>
      </w:pPr>
      <w:r>
        <w:rPr>
          <w:rFonts w:hint="eastAsia" w:ascii="仿宋_GB2312" w:hAnsi="仿宋_GB2312" w:eastAsia="仿宋_GB2312" w:cs="仿宋_GB2312"/>
          <w:b w:val="0"/>
          <w:bCs w:val="0"/>
          <w:color w:val="auto"/>
          <w:kern w:val="0"/>
          <w:sz w:val="24"/>
          <w:szCs w:val="20"/>
          <w:highlight w:val="none"/>
          <w:lang w:val="en-US" w:eastAsia="zh-CN"/>
        </w:rPr>
        <w:t>单元测试方案</w:t>
      </w:r>
    </w:p>
    <w:p w14:paraId="1C627F0E">
      <w:pPr>
        <w:adjustRightInd w:val="0"/>
        <w:spacing w:before="60" w:after="60" w:line="360" w:lineRule="auto"/>
        <w:ind w:firstLine="480"/>
        <w:textAlignment w:val="baseline"/>
        <w:rPr>
          <w:rFonts w:hint="eastAsia" w:ascii="仿宋_GB2312" w:hAnsi="仿宋_GB2312" w:eastAsia="仿宋_GB2312" w:cs="仿宋_GB2312"/>
          <w:b w:val="0"/>
          <w:bCs w:val="0"/>
          <w:color w:val="auto"/>
          <w:kern w:val="0"/>
          <w:sz w:val="24"/>
          <w:szCs w:val="20"/>
          <w:highlight w:val="none"/>
        </w:rPr>
      </w:pPr>
      <w:r>
        <w:rPr>
          <w:rFonts w:hint="eastAsia" w:ascii="仿宋_GB2312" w:hAnsi="仿宋_GB2312" w:eastAsia="仿宋_GB2312" w:cs="仿宋_GB2312"/>
          <w:b w:val="0"/>
          <w:bCs w:val="0"/>
          <w:color w:val="auto"/>
          <w:kern w:val="0"/>
          <w:sz w:val="24"/>
          <w:szCs w:val="20"/>
          <w:highlight w:val="none"/>
        </w:rPr>
        <w:t>单元测试的基本流程如下图所示：</w:t>
      </w:r>
    </w:p>
    <w:p w14:paraId="35854E33">
      <w:pPr>
        <w:widowControl/>
        <w:adjustRightInd w:val="0"/>
        <w:spacing w:before="100" w:beforeAutospacing="1" w:after="100" w:afterLines="0" w:afterAutospacing="1" w:line="300" w:lineRule="auto"/>
        <w:ind w:firstLine="420" w:firstLineChars="175"/>
        <w:jc w:val="left"/>
        <w:textAlignment w:val="baseline"/>
        <w:rPr>
          <w:rFonts w:hint="eastAsia" w:ascii="宋体" w:hAnsi="宋体" w:cs="Times New Roman"/>
          <w:b w:val="0"/>
          <w:bCs w:val="0"/>
          <w:color w:val="auto"/>
          <w:kern w:val="0"/>
          <w:sz w:val="24"/>
          <w:szCs w:val="24"/>
          <w:highlight w:val="none"/>
        </w:rPr>
      </w:pPr>
      <w:r>
        <w:rPr>
          <w:rFonts w:ascii="Times New Roman" w:hAnsi="Times New Roman" w:cs="Times New Roman"/>
          <w:b w:val="0"/>
          <w:bCs w:val="0"/>
          <w:color w:val="auto"/>
          <w:kern w:val="0"/>
          <w:sz w:val="24"/>
          <w:szCs w:val="24"/>
          <w:highlight w:val="none"/>
        </w:rPr>
        <w:drawing>
          <wp:inline distT="0" distB="0" distL="114300" distR="114300">
            <wp:extent cx="4805680" cy="2112645"/>
            <wp:effectExtent l="0" t="0" r="13970" b="1905"/>
            <wp:docPr id="5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4"/>
                    <pic:cNvPicPr>
                      <a:picLocks noChangeAspect="1"/>
                    </pic:cNvPicPr>
                  </pic:nvPicPr>
                  <pic:blipFill>
                    <a:blip r:embed="rId9"/>
                    <a:stretch>
                      <a:fillRect/>
                    </a:stretch>
                  </pic:blipFill>
                  <pic:spPr>
                    <a:xfrm>
                      <a:off x="0" y="0"/>
                      <a:ext cx="4805680" cy="2112645"/>
                    </a:xfrm>
                    <a:prstGeom prst="rect">
                      <a:avLst/>
                    </a:prstGeom>
                    <a:noFill/>
                    <a:ln>
                      <a:noFill/>
                    </a:ln>
                  </pic:spPr>
                </pic:pic>
              </a:graphicData>
            </a:graphic>
          </wp:inline>
        </w:drawing>
      </w:r>
    </w:p>
    <w:p w14:paraId="3DF83BC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center"/>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宋体" w:eastAsia="仿宋_GB2312" w:cs="宋体"/>
          <w:b w:val="0"/>
          <w:bCs w:val="0"/>
          <w:color w:val="auto"/>
          <w:kern w:val="0"/>
          <w:sz w:val="24"/>
          <w:szCs w:val="24"/>
          <w:highlight w:val="none"/>
        </w:rPr>
        <w:t>图</w:t>
      </w:r>
      <w:r>
        <w:rPr>
          <w:rFonts w:hint="eastAsia" w:ascii="仿宋_GB2312" w:hAnsi="宋体" w:eastAsia="仿宋_GB2312" w:cs="宋体"/>
          <w:b w:val="0"/>
          <w:bCs w:val="0"/>
          <w:color w:val="auto"/>
          <w:kern w:val="0"/>
          <w:sz w:val="24"/>
          <w:szCs w:val="24"/>
          <w:highlight w:val="none"/>
          <w:lang w:val="en-US" w:eastAsia="zh-CN"/>
        </w:rPr>
        <w:t>6</w:t>
      </w:r>
      <w:r>
        <w:rPr>
          <w:rFonts w:hint="eastAsia" w:ascii="仿宋_GB2312" w:hAnsi="宋体" w:eastAsia="仿宋_GB2312" w:cs="宋体"/>
          <w:b w:val="0"/>
          <w:bCs w:val="0"/>
          <w:color w:val="auto"/>
          <w:kern w:val="0"/>
          <w:sz w:val="24"/>
          <w:szCs w:val="24"/>
          <w:highlight w:val="none"/>
        </w:rPr>
        <w:t>.</w:t>
      </w:r>
      <w:r>
        <w:rPr>
          <w:rFonts w:hint="eastAsia" w:ascii="仿宋_GB2312" w:hAnsi="宋体" w:eastAsia="仿宋_GB2312" w:cs="宋体"/>
          <w:b w:val="0"/>
          <w:bCs w:val="0"/>
          <w:color w:val="auto"/>
          <w:kern w:val="0"/>
          <w:sz w:val="24"/>
          <w:szCs w:val="24"/>
          <w:highlight w:val="none"/>
          <w:lang w:val="en-US" w:eastAsia="zh-CN"/>
        </w:rPr>
        <w:t>5</w:t>
      </w:r>
      <w:r>
        <w:rPr>
          <w:rFonts w:hint="eastAsia" w:ascii="仿宋_GB2312" w:hAnsi="宋体" w:eastAsia="仿宋_GB2312" w:cs="宋体"/>
          <w:b w:val="0"/>
          <w:bCs w:val="0"/>
          <w:color w:val="auto"/>
          <w:kern w:val="0"/>
          <w:sz w:val="24"/>
          <w:szCs w:val="24"/>
          <w:highlight w:val="none"/>
        </w:rPr>
        <w:t xml:space="preserve"> </w:t>
      </w:r>
      <w:r>
        <w:rPr>
          <w:rFonts w:hint="eastAsia" w:ascii="仿宋_GB2312" w:hAnsi="仿宋_GB2312" w:eastAsia="仿宋_GB2312" w:cs="仿宋_GB2312"/>
          <w:b w:val="0"/>
          <w:bCs w:val="0"/>
          <w:color w:val="auto"/>
          <w:kern w:val="0"/>
          <w:sz w:val="24"/>
          <w:szCs w:val="20"/>
          <w:highlight w:val="none"/>
        </w:rPr>
        <w:t>单元测试的基本流程</w:t>
      </w:r>
    </w:p>
    <w:p w14:paraId="7A1E490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针对单元测试，我们的测试任务包括：</w:t>
      </w:r>
    </w:p>
    <w:p w14:paraId="15586DF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模块接口测试；</w:t>
      </w:r>
    </w:p>
    <w:p w14:paraId="00C6DC28">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局部数据结构测试；</w:t>
      </w:r>
    </w:p>
    <w:p w14:paraId="0D1E858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路径测试；</w:t>
      </w:r>
    </w:p>
    <w:p w14:paraId="6DF03831">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错误处理测试；</w:t>
      </w:r>
    </w:p>
    <w:p w14:paraId="779B238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边界条件测试。</w:t>
      </w:r>
    </w:p>
    <w:p w14:paraId="542DD211">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模块接口测试</w:t>
      </w:r>
    </w:p>
    <w:p w14:paraId="6C2D709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模块接口测试是单元测试的基础。只有在数据能正确流入、流出模块的前提下，其他测试才有意义。对于模块接口需要如下的测试项目：</w:t>
      </w:r>
    </w:p>
    <w:p w14:paraId="5B176BC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 xml:space="preserve">调用所测模块时的输入参数与模块的形式参数在个数、属性、顺序上是否匹配； </w:t>
      </w:r>
    </w:p>
    <w:p w14:paraId="6AD0702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 xml:space="preserve">所测模块调用子模块时，它输入个子模块的参数与子模块的形式参数在个数、属性、顺序上是否匹配； </w:t>
      </w:r>
    </w:p>
    <w:p w14:paraId="135822D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是否修改了只做输入用的形式参数；</w:t>
      </w:r>
    </w:p>
    <w:p w14:paraId="6E139C5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输出给标准函数的参数的个数、属性、顺序上是否匹配；</w:t>
      </w:r>
    </w:p>
    <w:p w14:paraId="2B2308B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全局变量的定义在各模块中是否一致；</w:t>
      </w:r>
    </w:p>
    <w:p w14:paraId="27E4950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限制是否通过形式参数来传递。</w:t>
      </w:r>
    </w:p>
    <w:p w14:paraId="64CE72C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局部数据结构测试</w:t>
      </w:r>
    </w:p>
    <w:p w14:paraId="23F1B82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检查局部数据结构是为了保证临时存储在模块内的数据在程序执行过程中完整、正确。局部数据结构往往是错误的根源，应仔细设计测试用例，力求发现下面几类错误</w:t>
      </w:r>
    </w:p>
    <w:p w14:paraId="743E2A5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不合适或不相容的类型说明；</w:t>
      </w:r>
    </w:p>
    <w:p w14:paraId="10ACF76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变量无初值；</w:t>
      </w:r>
    </w:p>
    <w:p w14:paraId="13A29FE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变量初始化或省缺值有错；</w:t>
      </w:r>
    </w:p>
    <w:p w14:paraId="06501D6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不正确的变量名（拼错或不正确地截断）；</w:t>
      </w:r>
    </w:p>
    <w:p w14:paraId="1CBE6B9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出现上溢、下溢和地址异常。</w:t>
      </w:r>
    </w:p>
    <w:p w14:paraId="575E7638">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路径测试测试</w:t>
      </w:r>
    </w:p>
    <w:p w14:paraId="3FBEBB0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为了发现因错误计算、不正确的比较和不适当的控制流造成的错误。此时最常用且最有效的测试技术是基本路径测试和循环测试。计算中常见的错误包括：</w:t>
      </w:r>
    </w:p>
    <w:p w14:paraId="2B99A17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不正确的计算；</w:t>
      </w:r>
    </w:p>
    <w:p w14:paraId="68BA486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比较和控制流计算。</w:t>
      </w:r>
    </w:p>
    <w:p w14:paraId="09B45C01">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错误处理测试</w:t>
      </w:r>
    </w:p>
    <w:p w14:paraId="79E87E91">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出错的描述难以理解；</w:t>
      </w:r>
    </w:p>
    <w:p w14:paraId="05278FC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显示的错误与实际错误不符；</w:t>
      </w:r>
    </w:p>
    <w:p w14:paraId="0BF2FB3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在程序自定义的出错处理段运行之前，系统已介入；</w:t>
      </w:r>
    </w:p>
    <w:p w14:paraId="74882B7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异常处理不当；</w:t>
      </w:r>
    </w:p>
    <w:p w14:paraId="6BE683B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错误陈述中未能提供足够的定位出错信息。</w:t>
      </w:r>
    </w:p>
    <w:p w14:paraId="5FEF4B5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边界条件测试</w:t>
      </w:r>
    </w:p>
    <w:p w14:paraId="0FDC6588">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在n次循环的第0次、1次、n次是否有错误；</w:t>
      </w:r>
    </w:p>
    <w:p w14:paraId="1B34EE5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运算或判断中取最大最小值时是否有错误；</w:t>
      </w:r>
    </w:p>
    <w:p w14:paraId="517364E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数据流、控制流中刚好等于、大于、小于确定的比较值时是否出现错误。</w:t>
      </w:r>
    </w:p>
    <w:p w14:paraId="7AC1F70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系统测试方案</w:t>
      </w:r>
    </w:p>
    <w:p w14:paraId="6745DDE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系统测试的基本流程如下图所示：</w:t>
      </w:r>
    </w:p>
    <w:p w14:paraId="267B9FC1">
      <w:pPr>
        <w:widowControl/>
        <w:adjustRightInd w:val="0"/>
        <w:spacing w:before="100" w:beforeAutospacing="1" w:after="100" w:afterLines="0" w:afterAutospacing="1" w:line="300" w:lineRule="auto"/>
        <w:ind w:firstLine="480" w:firstLineChars="200"/>
        <w:jc w:val="left"/>
        <w:textAlignment w:val="baseline"/>
        <w:rPr>
          <w:rFonts w:hint="eastAsia" w:ascii="Times New Roman" w:hAnsi="Times New Roman" w:cs="Times New Roman"/>
          <w:b w:val="0"/>
          <w:bCs w:val="0"/>
          <w:color w:val="auto"/>
          <w:kern w:val="0"/>
          <w:sz w:val="24"/>
          <w:szCs w:val="20"/>
          <w:highlight w:val="none"/>
        </w:rPr>
      </w:pPr>
      <w:r>
        <w:rPr>
          <w:rFonts w:ascii="Times New Roman" w:hAnsi="Times New Roman" w:cs="Times New Roman"/>
          <w:b w:val="0"/>
          <w:bCs w:val="0"/>
          <w:color w:val="auto"/>
          <w:kern w:val="0"/>
          <w:sz w:val="24"/>
          <w:szCs w:val="20"/>
          <w:highlight w:val="none"/>
        </w:rPr>
        <w:drawing>
          <wp:inline distT="0" distB="0" distL="114300" distR="114300">
            <wp:extent cx="4686935" cy="3406140"/>
            <wp:effectExtent l="0" t="0" r="18415" b="3810"/>
            <wp:docPr id="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
                    <pic:cNvPicPr>
                      <a:picLocks noChangeAspect="1"/>
                    </pic:cNvPicPr>
                  </pic:nvPicPr>
                  <pic:blipFill>
                    <a:blip r:embed="rId10"/>
                    <a:stretch>
                      <a:fillRect/>
                    </a:stretch>
                  </pic:blipFill>
                  <pic:spPr>
                    <a:xfrm>
                      <a:off x="0" y="0"/>
                      <a:ext cx="4686935" cy="3406140"/>
                    </a:xfrm>
                    <a:prstGeom prst="rect">
                      <a:avLst/>
                    </a:prstGeom>
                    <a:noFill/>
                    <a:ln>
                      <a:noFill/>
                    </a:ln>
                  </pic:spPr>
                </pic:pic>
              </a:graphicData>
            </a:graphic>
          </wp:inline>
        </w:drawing>
      </w:r>
    </w:p>
    <w:p w14:paraId="798EBCB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center"/>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宋体" w:eastAsia="仿宋_GB2312" w:cs="宋体"/>
          <w:b w:val="0"/>
          <w:bCs w:val="0"/>
          <w:color w:val="auto"/>
          <w:kern w:val="0"/>
          <w:sz w:val="24"/>
          <w:szCs w:val="24"/>
          <w:highlight w:val="none"/>
        </w:rPr>
        <w:t>图</w:t>
      </w:r>
      <w:r>
        <w:rPr>
          <w:rFonts w:hint="eastAsia" w:ascii="仿宋_GB2312" w:hAnsi="宋体" w:eastAsia="仿宋_GB2312" w:cs="宋体"/>
          <w:b w:val="0"/>
          <w:bCs w:val="0"/>
          <w:color w:val="auto"/>
          <w:kern w:val="0"/>
          <w:sz w:val="24"/>
          <w:szCs w:val="24"/>
          <w:highlight w:val="none"/>
          <w:lang w:val="en-US" w:eastAsia="zh-CN"/>
        </w:rPr>
        <w:t>6</w:t>
      </w:r>
      <w:r>
        <w:rPr>
          <w:rFonts w:hint="eastAsia" w:ascii="仿宋_GB2312" w:hAnsi="宋体" w:eastAsia="仿宋_GB2312" w:cs="宋体"/>
          <w:b w:val="0"/>
          <w:bCs w:val="0"/>
          <w:color w:val="auto"/>
          <w:kern w:val="0"/>
          <w:sz w:val="24"/>
          <w:szCs w:val="24"/>
          <w:highlight w:val="none"/>
        </w:rPr>
        <w:t>.</w:t>
      </w:r>
      <w:r>
        <w:rPr>
          <w:rFonts w:hint="eastAsia" w:ascii="仿宋_GB2312" w:hAnsi="宋体" w:eastAsia="仿宋_GB2312" w:cs="宋体"/>
          <w:b w:val="0"/>
          <w:bCs w:val="0"/>
          <w:color w:val="auto"/>
          <w:kern w:val="0"/>
          <w:sz w:val="24"/>
          <w:szCs w:val="24"/>
          <w:highlight w:val="none"/>
          <w:lang w:val="en-US" w:eastAsia="zh-CN"/>
        </w:rPr>
        <w:t>6</w:t>
      </w:r>
      <w:r>
        <w:rPr>
          <w:rFonts w:hint="eastAsia" w:ascii="仿宋_GB2312" w:hAnsi="宋体" w:eastAsia="仿宋_GB2312" w:cs="宋体"/>
          <w:b w:val="0"/>
          <w:bCs w:val="0"/>
          <w:color w:val="auto"/>
          <w:kern w:val="0"/>
          <w:sz w:val="24"/>
          <w:szCs w:val="24"/>
          <w:highlight w:val="none"/>
        </w:rPr>
        <w:t xml:space="preserve"> </w:t>
      </w:r>
      <w:r>
        <w:rPr>
          <w:rFonts w:hint="eastAsia" w:ascii="仿宋_GB2312" w:hAnsi="仿宋_GB2312" w:eastAsia="仿宋_GB2312" w:cs="仿宋_GB2312"/>
          <w:b w:val="0"/>
          <w:bCs w:val="0"/>
          <w:color w:val="auto"/>
          <w:kern w:val="0"/>
          <w:sz w:val="24"/>
          <w:szCs w:val="20"/>
          <w:highlight w:val="none"/>
        </w:rPr>
        <w:t>系统测试的基本流程</w:t>
      </w:r>
    </w:p>
    <w:p w14:paraId="42665A4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将提供测试计划书、系统测试报告、β版本测试报告、验收测试报告及最终的测试分析报告等文档，并接受将军团的检验，如果发现存在问题，我们将立即修改，并重新测试，完成后，再提出验收（验收流程可参见上面的流程图），直到用户满意为止。</w:t>
      </w:r>
    </w:p>
    <w:p w14:paraId="76CCA25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我们提供的测试包括</w:t>
      </w:r>
    </w:p>
    <w:p w14:paraId="4DC7349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功能测试；</w:t>
      </w:r>
    </w:p>
    <w:p w14:paraId="60D0988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接口测试；</w:t>
      </w:r>
    </w:p>
    <w:p w14:paraId="6B36A93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性能测试；</w:t>
      </w:r>
    </w:p>
    <w:p w14:paraId="5734691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环境测试；</w:t>
      </w:r>
    </w:p>
    <w:p w14:paraId="5EE1795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可靠性测试；</w:t>
      </w:r>
    </w:p>
    <w:p w14:paraId="05F0D99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稳定性测试；</w:t>
      </w:r>
    </w:p>
    <w:p w14:paraId="03BF590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维护性测试；</w:t>
      </w:r>
    </w:p>
    <w:p w14:paraId="7DB2D471">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平台可移植行性测试；</w:t>
      </w:r>
    </w:p>
    <w:p w14:paraId="32148C0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资料的完整性测试；</w:t>
      </w:r>
    </w:p>
    <w:p w14:paraId="5CF2CEC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安全性测试。</w:t>
      </w:r>
    </w:p>
    <w:p w14:paraId="032BD308">
      <w:pPr>
        <w:adjustRightInd w:val="0"/>
        <w:spacing w:before="60" w:after="60" w:line="360" w:lineRule="auto"/>
        <w:ind w:firstLine="480"/>
        <w:textAlignment w:val="baseline"/>
        <w:rPr>
          <w:rFonts w:hint="eastAsia" w:ascii="仿宋_GB2312" w:hAnsi="仿宋_GB2312" w:eastAsia="仿宋_GB2312" w:cs="仿宋_GB2312"/>
          <w:b w:val="0"/>
          <w:bCs w:val="0"/>
          <w:color w:val="auto"/>
          <w:kern w:val="0"/>
          <w:sz w:val="24"/>
          <w:szCs w:val="20"/>
          <w:highlight w:val="none"/>
        </w:rPr>
      </w:pPr>
      <w:r>
        <w:rPr>
          <w:rFonts w:hint="eastAsia" w:ascii="仿宋_GB2312" w:hAnsi="仿宋_GB2312" w:eastAsia="仿宋_GB2312" w:cs="仿宋_GB2312"/>
          <w:b w:val="0"/>
          <w:bCs w:val="0"/>
          <w:color w:val="auto"/>
          <w:kern w:val="0"/>
          <w:sz w:val="24"/>
          <w:szCs w:val="20"/>
          <w:highlight w:val="none"/>
        </w:rPr>
        <w:t>功能测试</w:t>
      </w:r>
    </w:p>
    <w:p w14:paraId="4538ED1C">
      <w:pPr>
        <w:adjustRightInd w:val="0"/>
        <w:spacing w:before="60" w:after="60" w:line="360" w:lineRule="auto"/>
        <w:ind w:firstLine="480"/>
        <w:textAlignment w:val="baseline"/>
        <w:rPr>
          <w:rFonts w:hint="eastAsia" w:ascii="仿宋_GB2312" w:hAnsi="仿宋_GB2312" w:eastAsia="仿宋_GB2312" w:cs="仿宋_GB2312"/>
          <w:b w:val="0"/>
          <w:bCs w:val="0"/>
          <w:color w:val="auto"/>
          <w:kern w:val="0"/>
          <w:sz w:val="24"/>
          <w:szCs w:val="20"/>
          <w:highlight w:val="none"/>
        </w:rPr>
      </w:pPr>
      <w:r>
        <w:rPr>
          <w:rFonts w:hint="eastAsia" w:ascii="仿宋_GB2312" w:hAnsi="仿宋_GB2312" w:eastAsia="仿宋_GB2312" w:cs="仿宋_GB2312"/>
          <w:b w:val="0"/>
          <w:bCs w:val="0"/>
          <w:color w:val="auto"/>
          <w:kern w:val="0"/>
          <w:sz w:val="24"/>
          <w:szCs w:val="20"/>
          <w:highlight w:val="none"/>
        </w:rPr>
        <w:t>是通过在规定时间内逐一运行系统提供的各项功能，验证系统功能的完备性、一致性。从而确认系统是否已完成需求说明书中规定的全部功能。其测试分为：</w:t>
      </w:r>
    </w:p>
    <w:p w14:paraId="054C20BE">
      <w:pPr>
        <w:adjustRightInd w:val="0"/>
        <w:spacing w:before="60" w:after="60" w:line="360" w:lineRule="auto"/>
        <w:ind w:firstLine="480"/>
        <w:textAlignment w:val="baseline"/>
        <w:rPr>
          <w:rFonts w:hint="eastAsia" w:ascii="仿宋_GB2312" w:hAnsi="仿宋_GB2312" w:eastAsia="仿宋_GB2312" w:cs="仿宋_GB2312"/>
          <w:b w:val="0"/>
          <w:bCs w:val="0"/>
          <w:color w:val="auto"/>
          <w:kern w:val="0"/>
          <w:sz w:val="24"/>
          <w:szCs w:val="20"/>
          <w:highlight w:val="none"/>
        </w:rPr>
      </w:pPr>
      <w:r>
        <w:rPr>
          <w:rFonts w:hint="eastAsia" w:ascii="仿宋_GB2312" w:hAnsi="仿宋_GB2312" w:eastAsia="仿宋_GB2312" w:cs="仿宋_GB2312"/>
          <w:b w:val="0"/>
          <w:bCs w:val="0"/>
          <w:color w:val="auto"/>
          <w:kern w:val="0"/>
          <w:sz w:val="24"/>
          <w:szCs w:val="20"/>
          <w:highlight w:val="none"/>
        </w:rPr>
        <w:t>完备性测试；</w:t>
      </w:r>
    </w:p>
    <w:p w14:paraId="6C2D368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一致性测试；</w:t>
      </w:r>
    </w:p>
    <w:p w14:paraId="5C587F5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对完备性测试和一致性测试分为两种测试方法；</w:t>
      </w:r>
    </w:p>
    <w:p w14:paraId="1002415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单独功能测试；</w:t>
      </w:r>
    </w:p>
    <w:p w14:paraId="5C0D64B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连续性的功能测试。</w:t>
      </w:r>
    </w:p>
    <w:p w14:paraId="015AA5E8">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接口测试</w:t>
      </w:r>
    </w:p>
    <w:p w14:paraId="7DD2CE3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服务器接口；</w:t>
      </w:r>
    </w:p>
    <w:p w14:paraId="5463D07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各模块接口测试；</w:t>
      </w:r>
    </w:p>
    <w:p w14:paraId="318DDF4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系统与外部程序接口测试；</w:t>
      </w:r>
    </w:p>
    <w:p w14:paraId="6BD3B3F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接口错误处理测试。</w:t>
      </w:r>
    </w:p>
    <w:p w14:paraId="50DCB7B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性能测试</w:t>
      </w:r>
    </w:p>
    <w:p w14:paraId="15DFF471">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效率测试包括：</w:t>
      </w:r>
    </w:p>
    <w:p w14:paraId="4C32C64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营业处理等时限是否满足要求</w:t>
      </w:r>
    </w:p>
    <w:p w14:paraId="1629CF2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数据存储和备份时限是否满足要求</w:t>
      </w:r>
      <w:r>
        <w:rPr>
          <w:rFonts w:hint="eastAsia" w:ascii="仿宋_GB2312" w:hAnsi="Times New Roman" w:eastAsia="仿宋_GB2312" w:cs="Times New Roman"/>
          <w:b w:val="0"/>
          <w:bCs w:val="0"/>
          <w:color w:val="auto"/>
          <w:kern w:val="0"/>
          <w:sz w:val="24"/>
          <w:szCs w:val="20"/>
          <w:highlight w:val="none"/>
        </w:rPr>
        <w:tab/>
      </w:r>
    </w:p>
    <w:p w14:paraId="250EABF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系统中数据查询的速度</w:t>
      </w:r>
    </w:p>
    <w:p w14:paraId="7A084A6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日常运作各类报表的及时性</w:t>
      </w:r>
    </w:p>
    <w:p w14:paraId="77117C2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系统处理精度</w:t>
      </w:r>
    </w:p>
    <w:p w14:paraId="2C36350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 xml:space="preserve"> 灵活性测试包括：</w:t>
      </w:r>
    </w:p>
    <w:p w14:paraId="05E0364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系统是否具有自动任务调度、自动故障告警和自动任务恢复的能力</w:t>
      </w:r>
    </w:p>
    <w:p w14:paraId="209A6D3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在不影响系统运转的情况下，能否平滑地进行模块更新和加载</w:t>
      </w:r>
    </w:p>
    <w:p w14:paraId="1AEA0B6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是否采用参数驱动设计思想，将不确定因素参数化</w:t>
      </w:r>
    </w:p>
    <w:p w14:paraId="6E98184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是否提供了灵活的优惠计算方式</w:t>
      </w:r>
    </w:p>
    <w:p w14:paraId="3067E99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是否提供了完善的报表统计生成维护工具</w:t>
      </w:r>
    </w:p>
    <w:p w14:paraId="1EB30A3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是否能简便地终止运行的应用系统、数据库、主机。并在系统重启后，能简便地恢复到运行状态，不影响数据的正确处理</w:t>
      </w:r>
    </w:p>
    <w:p w14:paraId="0AA15C5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可使用性测试测试包括：</w:t>
      </w:r>
    </w:p>
    <w:p w14:paraId="4432FDA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是否采用图形化窗口用户界面，并使用标准化、一致性术语。是</w:t>
      </w:r>
      <w:r>
        <w:rPr>
          <w:rFonts w:hint="eastAsia" w:ascii="仿宋_GB2312" w:hAnsi="仿宋_GB2312" w:eastAsia="仿宋_GB2312" w:cs="仿宋_GB2312"/>
          <w:b w:val="0"/>
          <w:bCs w:val="0"/>
          <w:color w:val="auto"/>
          <w:kern w:val="0"/>
          <w:sz w:val="24"/>
          <w:szCs w:val="20"/>
          <w:highlight w:val="none"/>
        </w:rPr>
        <w:t>否拥有在线HELP</w:t>
      </w:r>
      <w:r>
        <w:rPr>
          <w:rFonts w:hint="eastAsia" w:ascii="仿宋_GB2312" w:hAnsi="Times New Roman" w:eastAsia="仿宋_GB2312" w:cs="Times New Roman"/>
          <w:b w:val="0"/>
          <w:bCs w:val="0"/>
          <w:color w:val="auto"/>
          <w:kern w:val="0"/>
          <w:sz w:val="24"/>
          <w:szCs w:val="20"/>
          <w:highlight w:val="none"/>
        </w:rPr>
        <w:t>帮助功能。</w:t>
      </w:r>
    </w:p>
    <w:p w14:paraId="3504A1F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是否提供详细程度不同的响应信息。</w:t>
      </w:r>
    </w:p>
    <w:p w14:paraId="368016B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应用软件能否提供可以提示和输出汉字结果的操作界面。</w:t>
      </w:r>
    </w:p>
    <w:p w14:paraId="7B5479E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应用软件能否为系统管理员提供多种发现系统故障和非法登录的手段。</w:t>
      </w:r>
      <w:r>
        <w:rPr>
          <w:rFonts w:hint="eastAsia" w:ascii="仿宋_GB2312" w:hAnsi="Times New Roman" w:eastAsia="仿宋_GB2312" w:cs="Times New Roman"/>
          <w:b w:val="0"/>
          <w:bCs w:val="0"/>
          <w:color w:val="auto"/>
          <w:kern w:val="0"/>
          <w:sz w:val="24"/>
          <w:szCs w:val="20"/>
          <w:highlight w:val="none"/>
        </w:rPr>
        <w:tab/>
      </w:r>
    </w:p>
    <w:p w14:paraId="24CFA2D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应用软件能否支持光盘及其它外部存储方式来保存大量历史数据。</w:t>
      </w:r>
    </w:p>
    <w:p w14:paraId="4C28972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环境测试</w:t>
      </w:r>
    </w:p>
    <w:p w14:paraId="4A3000C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网络环境测试；</w:t>
      </w:r>
    </w:p>
    <w:p w14:paraId="009CEE6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主机环境测试；</w:t>
      </w:r>
    </w:p>
    <w:p w14:paraId="6545C971">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系统环境测试；</w:t>
      </w:r>
    </w:p>
    <w:p w14:paraId="2653AE5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数据库环境测试。</w:t>
      </w:r>
    </w:p>
    <w:p w14:paraId="7342D2A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可靠性测试</w:t>
      </w:r>
    </w:p>
    <w:p w14:paraId="18FE1B8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是否对主要设备及数据库等都做到备份设置；</w:t>
      </w:r>
    </w:p>
    <w:p w14:paraId="08730DD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系统软件、数据库系统和应用软件是否具有容错能力和恢复能力；</w:t>
      </w:r>
    </w:p>
    <w:p w14:paraId="07F7637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系统是否提供完善的故障检测能力和良好的故障恢复能力；</w:t>
      </w:r>
    </w:p>
    <w:p w14:paraId="6D4CE7E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系统是否提供完善的日志管理功能；</w:t>
      </w:r>
    </w:p>
    <w:p w14:paraId="302246C8">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是否提供对系统非法关机的处理；</w:t>
      </w:r>
    </w:p>
    <w:p w14:paraId="75DF61F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是否提供对用户错误操作的补救程序。</w:t>
      </w:r>
    </w:p>
    <w:p w14:paraId="6FB4C66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稳定性测试</w:t>
      </w:r>
    </w:p>
    <w:p w14:paraId="20A3244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网络稳定性测试；</w:t>
      </w:r>
    </w:p>
    <w:p w14:paraId="74AD0CE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主机稳定性测试；</w:t>
      </w:r>
    </w:p>
    <w:p w14:paraId="746E5C0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系统稳定性环测试；</w:t>
      </w:r>
    </w:p>
    <w:p w14:paraId="006E361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数据稳定性库测试；</w:t>
      </w:r>
    </w:p>
    <w:p w14:paraId="64585C1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应用软件稳定性测试。</w:t>
      </w:r>
    </w:p>
    <w:p w14:paraId="40D6CCF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维护性测试</w:t>
      </w:r>
    </w:p>
    <w:p w14:paraId="59F7B72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系统是否具有自动任务调度、自动故障告警和自动任务恢复的能力；</w:t>
      </w:r>
    </w:p>
    <w:p w14:paraId="6400DA8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在不影响系统运转的情况下，能否平滑地进行模块更新和加载；</w:t>
      </w:r>
    </w:p>
    <w:p w14:paraId="507B51B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是否提供了灵活的优惠计算方式；</w:t>
      </w:r>
    </w:p>
    <w:p w14:paraId="3180279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是否提供了完善的报表统计生成维护工具；</w:t>
      </w:r>
    </w:p>
    <w:p w14:paraId="743F2F7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应用软件是否具备多用户和多任务操作能力，并对用户数不加限制；</w:t>
      </w:r>
    </w:p>
    <w:p w14:paraId="12C8DF0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是否能简便地终止运行的应用系统、数据库、主机。并在系统重启后，能简便地恢复到运行状态，不影响数据的正确处理。</w:t>
      </w:r>
    </w:p>
    <w:p w14:paraId="204CB0F8">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平台可移植性测试</w:t>
      </w:r>
    </w:p>
    <w:p w14:paraId="3C2A5B8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硬件平台移植性测试</w:t>
      </w:r>
    </w:p>
    <w:p w14:paraId="0AEE948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仿宋_GB2312" w:eastAsia="仿宋_GB2312" w:cs="仿宋_GB2312"/>
          <w:b w:val="0"/>
          <w:bCs w:val="0"/>
          <w:color w:val="auto"/>
          <w:kern w:val="0"/>
          <w:sz w:val="24"/>
          <w:szCs w:val="20"/>
          <w:highlight w:val="none"/>
        </w:rPr>
        <w:t>软</w:t>
      </w:r>
      <w:r>
        <w:rPr>
          <w:rFonts w:hint="eastAsia" w:ascii="仿宋_GB2312" w:hAnsi="Times New Roman" w:eastAsia="仿宋_GB2312" w:cs="Times New Roman"/>
          <w:b w:val="0"/>
          <w:bCs w:val="0"/>
          <w:color w:val="auto"/>
          <w:kern w:val="0"/>
          <w:sz w:val="24"/>
          <w:szCs w:val="20"/>
          <w:highlight w:val="none"/>
        </w:rPr>
        <w:t>件环境平台变化测试</w:t>
      </w:r>
    </w:p>
    <w:p w14:paraId="1B7CB29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资料的完整性测试</w:t>
      </w:r>
    </w:p>
    <w:p w14:paraId="4146B04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文档测试的目的在于验证应用软件系统相关文档是否完整、规范、准确以及文档与程序的一致性。验证的文档至少应包括：</w:t>
      </w:r>
    </w:p>
    <w:p w14:paraId="2104B01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安装指南》；《调试指南》；《测试计划书》；《应标商内部测试报告》；《初步验收测试报告》；《最终验收测试报告》；《系统功能说明》；《系统维护手册》；《系统故障诊断书》；《系统操作手册》；《培训教材》；《系统设计文档》；《详细设计文档》；</w:t>
      </w:r>
    </w:p>
    <w:p w14:paraId="50518DA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系统接口（包括软硬件）规范；</w:t>
      </w:r>
    </w:p>
    <w:p w14:paraId="42D01F7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系统数据结构；系统数据字典；系统各阶段文档资料；</w:t>
      </w:r>
    </w:p>
    <w:p w14:paraId="4D2A68E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应用软件源代码(源码中应包括详细注解)；</w:t>
      </w:r>
    </w:p>
    <w:p w14:paraId="5E5CCE2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所有的硬件、系统软件文档。</w:t>
      </w:r>
    </w:p>
    <w:p w14:paraId="2DE06FD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安全性测试</w:t>
      </w:r>
    </w:p>
    <w:p w14:paraId="19289B8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被测试系统是否具有完善的多级授权措施，包括系统访问权限及授权控制、多级密码和硬件钥匙等。</w:t>
      </w:r>
    </w:p>
    <w:p w14:paraId="2C753FD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在系统参数表管理时，对重要数据的修改是否采用双重口令，并对每次操作生成操作日志。</w:t>
      </w:r>
    </w:p>
    <w:p w14:paraId="44264B8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系统是否对网络及数据库系统提供访问控制能力。</w:t>
      </w:r>
    </w:p>
    <w:p w14:paraId="0388416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数据在传输线路上是否采用加密传输。</w:t>
      </w:r>
    </w:p>
    <w:p w14:paraId="12DAA61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系统是否提供详细的记录日志。</w:t>
      </w:r>
    </w:p>
    <w:p w14:paraId="7FD6AFD4">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32" w:name="_Toc1671164209"/>
      <w:r>
        <w:rPr>
          <w:rFonts w:hint="eastAsia" w:ascii="黑体" w:hAnsi="黑体" w:eastAsia="黑体" w:cs="黑体"/>
          <w:b w:val="0"/>
          <w:bCs w:val="0"/>
          <w:color w:val="auto"/>
          <w:sz w:val="24"/>
          <w:szCs w:val="30"/>
          <w:highlight w:val="none"/>
          <w:lang w:val="en-US" w:eastAsia="zh-CN" w:bidi="ar-SA"/>
        </w:rPr>
        <w:t>文档管理</w:t>
      </w:r>
      <w:bookmarkEnd w:id="32"/>
    </w:p>
    <w:p w14:paraId="7E94046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仿宋_GB2312" w:eastAsia="仿宋_GB2312" w:cs="仿宋_GB2312"/>
          <w:b w:val="0"/>
          <w:bCs w:val="0"/>
          <w:color w:val="auto"/>
          <w:kern w:val="0"/>
          <w:sz w:val="24"/>
          <w:szCs w:val="20"/>
          <w:highlight w:val="none"/>
        </w:rPr>
        <w:t>我</w:t>
      </w:r>
      <w:r>
        <w:rPr>
          <w:rFonts w:hint="eastAsia" w:ascii="仿宋_GB2312" w:hAnsi="Times New Roman" w:eastAsia="仿宋_GB2312" w:cs="Times New Roman"/>
          <w:b w:val="0"/>
          <w:bCs w:val="0"/>
          <w:color w:val="auto"/>
          <w:kern w:val="0"/>
          <w:sz w:val="24"/>
          <w:szCs w:val="20"/>
          <w:highlight w:val="none"/>
        </w:rPr>
        <w:t>公司将指定专人负责工程文档的编制、整理、汇总等工作，建立变更会签制度，资料分类保管，详细记录。工程施工过程中各阶段的各类文档、图纸、变更单，可随时提供给用户。</w:t>
      </w:r>
    </w:p>
    <w:p w14:paraId="0B64DC2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文档类型</w:t>
      </w:r>
    </w:p>
    <w:p w14:paraId="7F4AD10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本项目将以文档作为各个开发和实施过程中各个阶段确认的重要依据，我们将根据CMMI5的规范在开发过程中对开发人员进行相应要求，提供需求分析文档、设计文档、代码注释文档、测试文档及其报告等，另在实施中我们还会提供相应的系统维护说明、用户使用手册等全套文档。</w:t>
      </w:r>
    </w:p>
    <w:p w14:paraId="321574B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本项目中将提供需求文档作为设计阶段的主要依据，需求文档同时也作为验收时候的重要依据；同时将提供用户使用手册作为在实施中使用、培训和维护的文档手册。</w:t>
      </w:r>
    </w:p>
    <w:p w14:paraId="776E5F9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根据本项目的要求，我们会提供实用和齐全的全套随机技术资料，包括产品安装手册、产品使用手册、用户手册等相关资料。</w:t>
      </w:r>
    </w:p>
    <w:p w14:paraId="5D41BE6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工程竣工验收前，我公司将提供整套的工程资料，包括下述技术文档：</w:t>
      </w:r>
    </w:p>
    <w:p w14:paraId="3B4EE7B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技术文件：我们会在发运货物时，确保每台设备和软件要提供一整套中文的技术资料，包括安装手册、操作手册、系统管理员手册、用户手册、使用说明、维修保养手册、电路图、零配件清单等，这些资料费已包括在报价内。</w:t>
      </w:r>
    </w:p>
    <w:p w14:paraId="5F11EBB1">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详细的产品质量文件：包括材质、材质检验、加工质量、外形尺寸、性能检验、产品合格证明书等文件。</w:t>
      </w:r>
    </w:p>
    <w:p w14:paraId="65D7B01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工程设计文档：设计方案、设备配置清单、功能规划、实施方案、系统图、原理图、拓扑图等。</w:t>
      </w:r>
    </w:p>
    <w:p w14:paraId="34287B3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工程计划：安装日期是执行合同的开始，至少包括：运输/交货、安装调测、调试与联合调试、试运行、可靠性测试、终验等。</w:t>
      </w:r>
    </w:p>
    <w:p w14:paraId="23741F3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系统配置：我公司将提供详细的系统配置，包括配置图和配件清单。</w:t>
      </w:r>
    </w:p>
    <w:p w14:paraId="00AE844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安装结构：我公司将提供所购软件、硬件设备的安装指南。</w:t>
      </w:r>
    </w:p>
    <w:p w14:paraId="1119183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随工文档。</w:t>
      </w:r>
    </w:p>
    <w:p w14:paraId="64C40AE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验收文档。</w:t>
      </w:r>
    </w:p>
    <w:p w14:paraId="389F851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default"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文档的密级管理</w:t>
      </w:r>
    </w:p>
    <w:p w14:paraId="2D9286B8">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本规范中的技术文档包括本项目中所有于</w:t>
      </w:r>
      <w:r>
        <w:rPr>
          <w:rFonts w:hint="eastAsia" w:ascii="仿宋_GB2312" w:hAnsi="Times New Roman" w:eastAsia="仿宋_GB2312" w:cs="Times New Roman"/>
          <w:b w:val="0"/>
          <w:bCs w:val="0"/>
          <w:color w:val="auto"/>
          <w:kern w:val="0"/>
          <w:sz w:val="24"/>
          <w:szCs w:val="20"/>
          <w:highlight w:val="none"/>
          <w:lang w:eastAsia="zh-CN"/>
        </w:rPr>
        <w:t>乙方</w:t>
      </w:r>
      <w:r>
        <w:rPr>
          <w:rFonts w:hint="eastAsia" w:ascii="仿宋_GB2312" w:hAnsi="Times New Roman" w:eastAsia="仿宋_GB2312" w:cs="Times New Roman"/>
          <w:b w:val="0"/>
          <w:bCs w:val="0"/>
          <w:color w:val="auto"/>
          <w:kern w:val="0"/>
          <w:sz w:val="24"/>
          <w:szCs w:val="20"/>
          <w:highlight w:val="none"/>
        </w:rPr>
        <w:t>软件提供的技术和非技术的文字描述，同时，此文字描述具有以下功能：</w:t>
      </w:r>
    </w:p>
    <w:p w14:paraId="0B98B60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反映系统的构造原理，表明了系统的实现方式，为了系统维护，修改和进一步开发提供了依据。</w:t>
      </w:r>
    </w:p>
    <w:p w14:paraId="1887224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记录了系统各个阶段的技术信息。</w:t>
      </w:r>
    </w:p>
    <w:p w14:paraId="683E18F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为管理人员、开发人员、操作人员、用户之间的技术交流提供了交互的媒体。</w:t>
      </w:r>
    </w:p>
    <w:p w14:paraId="355DF69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涉及到项目管理的文件</w:t>
      </w:r>
    </w:p>
    <w:p w14:paraId="7D1A8E0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涉及到项目的技术资料和技术规范的文件。</w:t>
      </w:r>
    </w:p>
    <w:p w14:paraId="323FF5A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default" w:ascii="仿宋_GB2312" w:hAnsi="Times New Roman" w:eastAsia="仿宋_GB2312" w:cs="Times New Roman"/>
          <w:b w:val="0"/>
          <w:bCs w:val="0"/>
          <w:color w:val="auto"/>
          <w:kern w:val="0"/>
          <w:sz w:val="24"/>
          <w:szCs w:val="20"/>
          <w:highlight w:val="none"/>
          <w:lang w:val="en-US"/>
        </w:rPr>
        <w:t>1)</w:t>
      </w:r>
      <w:r>
        <w:rPr>
          <w:rFonts w:hint="eastAsia" w:ascii="仿宋_GB2312" w:hAnsi="Times New Roman" w:eastAsia="仿宋_GB2312" w:cs="Times New Roman"/>
          <w:b w:val="0"/>
          <w:bCs w:val="0"/>
          <w:color w:val="auto"/>
          <w:kern w:val="0"/>
          <w:sz w:val="24"/>
          <w:szCs w:val="20"/>
          <w:highlight w:val="none"/>
        </w:rPr>
        <w:t>文档的密级划分</w:t>
      </w:r>
    </w:p>
    <w:p w14:paraId="393B23E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根据文档的重要程度，并结合涉密文档的密级划分为4级：</w:t>
      </w:r>
    </w:p>
    <w:p w14:paraId="46741A6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绝密级－绝密级文档是指直接公司和用户的权益的重要决策文件资料。如果泄漏，会给公司和用户造成特别严重的后果和损害。</w:t>
      </w:r>
    </w:p>
    <w:p w14:paraId="67CFAF4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机密级－机密级文档是指针对用户的规划、方案、技术细节的重要文件资料。如果泄漏，会给公司和用户造成严重的损害。</w:t>
      </w:r>
    </w:p>
    <w:p w14:paraId="1551FF3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秘密级－秘密级的文档是指用于项目管理和日常行管理的文件资料。如果泄漏，会给公司和用户造成损害。</w:t>
      </w:r>
    </w:p>
    <w:p w14:paraId="2820D0D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一般级－一般级的文档是指一般性的文档，如果泄漏，不会给公司和用户造成损害。</w:t>
      </w:r>
    </w:p>
    <w:p w14:paraId="5E23FF1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default" w:ascii="仿宋_GB2312" w:hAnsi="Times New Roman" w:eastAsia="仿宋_GB2312" w:cs="Times New Roman"/>
          <w:b w:val="0"/>
          <w:bCs w:val="0"/>
          <w:color w:val="auto"/>
          <w:kern w:val="0"/>
          <w:sz w:val="24"/>
          <w:szCs w:val="20"/>
          <w:highlight w:val="none"/>
          <w:lang w:val="en-US"/>
        </w:rPr>
      </w:pPr>
      <w:r>
        <w:rPr>
          <w:rFonts w:hint="eastAsia" w:ascii="仿宋_GB2312" w:hAnsi="Times New Roman" w:eastAsia="仿宋_GB2312" w:cs="Times New Roman"/>
          <w:b w:val="0"/>
          <w:bCs w:val="0"/>
          <w:color w:val="auto"/>
          <w:kern w:val="0"/>
          <w:sz w:val="24"/>
          <w:szCs w:val="20"/>
          <w:highlight w:val="none"/>
          <w:lang w:val="en-US"/>
        </w:rPr>
        <w:t>文档密级变更及解密</w:t>
      </w:r>
    </w:p>
    <w:p w14:paraId="1B8A3F7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文档机密的变更和解密，必须按照国家和公司的有关行政法规和公司规定办理，凡不宜公开的技术文档资料，可定为内部使用；文档的保密等级不得随意提高、降低或者接触密级，需要升、降、解密的，需要报请相关部门和领导批准；主管部门和领导要定期或者不定期的进行保密检查，发现丢失和泄密的事故，应及时报告并认真处理。</w:t>
      </w:r>
    </w:p>
    <w:p w14:paraId="1FF8106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US"/>
        </w:rPr>
      </w:pPr>
      <w:r>
        <w:rPr>
          <w:rFonts w:hint="eastAsia" w:ascii="仿宋_GB2312" w:hAnsi="Times New Roman" w:eastAsia="仿宋_GB2312" w:cs="Times New Roman"/>
          <w:b w:val="0"/>
          <w:bCs w:val="0"/>
          <w:color w:val="auto"/>
          <w:kern w:val="0"/>
          <w:sz w:val="24"/>
          <w:szCs w:val="20"/>
          <w:highlight w:val="none"/>
          <w:lang w:val="en-US"/>
        </w:rPr>
        <w:t>各阶段文档说明</w:t>
      </w:r>
    </w:p>
    <w:p w14:paraId="360EC03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针对本次项目，我们把整个工程定义为以下几个阶段，我们在不同的阶段将提供不同的文档。分阶段递交文档主要考虑各个阶段有不同的任务特点，有些文档随着实施的进度推进，将有不同程度的修改，所以要分阶段递交文档。所有技术文档有电子与硬拷贝两种形式，共提供两份，向用户提交全部文档。各阶段的文档提供表，所有语言均为中文，提供电子与纸介质文档。</w:t>
      </w:r>
    </w:p>
    <w:p w14:paraId="62EFC493">
      <w:pPr>
        <w:adjustRightInd w:val="0"/>
        <w:spacing w:before="60" w:after="60" w:line="360" w:lineRule="auto"/>
        <w:ind w:firstLine="480"/>
        <w:textAlignment w:val="baseline"/>
        <w:rPr>
          <w:rFonts w:hint="eastAsia" w:ascii="仿宋_GB2312" w:hAnsi="仿宋_GB2312" w:eastAsia="仿宋_GB2312" w:cs="仿宋_GB2312"/>
          <w:b w:val="0"/>
          <w:bCs w:val="0"/>
          <w:color w:val="auto"/>
          <w:kern w:val="0"/>
          <w:sz w:val="24"/>
          <w:szCs w:val="20"/>
          <w:highlight w:val="none"/>
        </w:rPr>
      </w:pPr>
      <w:r>
        <w:rPr>
          <w:rFonts w:hint="eastAsia" w:ascii="仿宋_GB2312" w:hAnsi="仿宋_GB2312" w:eastAsia="仿宋_GB2312" w:cs="仿宋_GB2312"/>
          <w:b w:val="0"/>
          <w:bCs w:val="0"/>
          <w:color w:val="auto"/>
          <w:kern w:val="0"/>
          <w:sz w:val="24"/>
          <w:szCs w:val="20"/>
          <w:highlight w:val="none"/>
        </w:rPr>
        <w:t>具体内容与计划如下：</w:t>
      </w:r>
    </w:p>
    <w:p w14:paraId="13CBDC0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center"/>
        <w:textAlignment w:val="baseline"/>
        <w:rPr>
          <w:rFonts w:hint="eastAsia" w:ascii="仿宋_GB2312" w:hAnsi="Times New Roman" w:eastAsia="仿宋_GB2312" w:cs="Times New Roman"/>
          <w:b w:val="0"/>
          <w:bCs w:val="0"/>
          <w:color w:val="auto"/>
          <w:kern w:val="0"/>
          <w:sz w:val="24"/>
          <w:szCs w:val="20"/>
          <w:highlight w:val="none"/>
          <w:lang w:val="en-US"/>
        </w:rPr>
      </w:pPr>
      <w:r>
        <w:rPr>
          <w:rFonts w:hint="eastAsia" w:ascii="仿宋_GB2312" w:hAnsi="仿宋_GB2312" w:eastAsia="仿宋_GB2312" w:cs="仿宋_GB2312"/>
          <w:b w:val="0"/>
          <w:bCs w:val="0"/>
          <w:color w:val="auto"/>
          <w:kern w:val="0"/>
          <w:sz w:val="24"/>
          <w:szCs w:val="20"/>
          <w:highlight w:val="none"/>
        </w:rPr>
        <w:t>表</w:t>
      </w:r>
      <w:r>
        <w:rPr>
          <w:rFonts w:hint="eastAsia" w:ascii="仿宋_GB2312" w:hAnsi="仿宋_GB2312" w:eastAsia="仿宋_GB2312" w:cs="仿宋_GB2312"/>
          <w:b w:val="0"/>
          <w:bCs w:val="0"/>
          <w:color w:val="auto"/>
          <w:kern w:val="0"/>
          <w:sz w:val="24"/>
          <w:szCs w:val="20"/>
          <w:highlight w:val="none"/>
          <w:lang w:val="en-US" w:eastAsia="zh-CN"/>
        </w:rPr>
        <w:t xml:space="preserve">8 </w:t>
      </w:r>
      <w:r>
        <w:rPr>
          <w:rFonts w:hint="eastAsia" w:ascii="仿宋_GB2312" w:hAnsi="Times New Roman" w:eastAsia="仿宋_GB2312" w:cs="Times New Roman"/>
          <w:b w:val="0"/>
          <w:bCs w:val="0"/>
          <w:color w:val="auto"/>
          <w:kern w:val="0"/>
          <w:sz w:val="24"/>
          <w:szCs w:val="20"/>
          <w:highlight w:val="none"/>
          <w:lang w:val="en-US"/>
        </w:rPr>
        <w:t>各阶段文档说明</w:t>
      </w:r>
    </w:p>
    <w:tbl>
      <w:tblPr>
        <w:tblStyle w:val="4"/>
        <w:tblW w:w="802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2015"/>
        <w:gridCol w:w="1976"/>
        <w:gridCol w:w="4031"/>
      </w:tblGrid>
      <w:tr w14:paraId="6EAC72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 w:hRule="atLeast"/>
          <w:tblHeader/>
          <w:jc w:val="center"/>
        </w:trPr>
        <w:tc>
          <w:tcPr>
            <w:tcW w:w="2015" w:type="dxa"/>
            <w:tcBorders>
              <w:top w:val="single" w:color="auto" w:sz="4" w:space="0"/>
              <w:left w:val="single" w:color="auto" w:sz="4" w:space="0"/>
              <w:bottom w:val="single" w:color="auto" w:sz="4" w:space="0"/>
              <w:right w:val="single" w:color="auto" w:sz="4" w:space="0"/>
            </w:tcBorders>
            <w:shd w:val="clear" w:color="auto" w:fill="D9D9D9"/>
            <w:noWrap w:val="0"/>
            <w:vAlign w:val="top"/>
          </w:tcPr>
          <w:p w14:paraId="5F77F2D2">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阶段类别</w:t>
            </w:r>
          </w:p>
        </w:tc>
        <w:tc>
          <w:tcPr>
            <w:tcW w:w="1976" w:type="dxa"/>
            <w:tcBorders>
              <w:top w:val="single" w:color="auto" w:sz="4" w:space="0"/>
              <w:left w:val="single" w:color="auto" w:sz="4" w:space="0"/>
              <w:bottom w:val="single" w:color="auto" w:sz="4" w:space="0"/>
              <w:right w:val="single" w:color="auto" w:sz="4" w:space="0"/>
            </w:tcBorders>
            <w:shd w:val="clear" w:color="auto" w:fill="D9D9D9"/>
            <w:noWrap w:val="0"/>
            <w:vAlign w:val="top"/>
          </w:tcPr>
          <w:p w14:paraId="0D76D4D5">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资料编号</w:t>
            </w:r>
          </w:p>
        </w:tc>
        <w:tc>
          <w:tcPr>
            <w:tcW w:w="4031" w:type="dxa"/>
            <w:tcBorders>
              <w:top w:val="single" w:color="auto" w:sz="4" w:space="0"/>
              <w:left w:val="single" w:color="auto" w:sz="4" w:space="0"/>
              <w:bottom w:val="single" w:color="auto" w:sz="4" w:space="0"/>
              <w:right w:val="single" w:color="auto" w:sz="4" w:space="0"/>
            </w:tcBorders>
            <w:shd w:val="clear" w:color="auto" w:fill="D9D9D9"/>
            <w:noWrap w:val="0"/>
            <w:vAlign w:val="top"/>
          </w:tcPr>
          <w:p w14:paraId="5F990297">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资料名称</w:t>
            </w:r>
          </w:p>
        </w:tc>
      </w:tr>
      <w:tr w14:paraId="7920C0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restart"/>
            <w:tcBorders>
              <w:top w:val="single" w:color="auto" w:sz="4" w:space="0"/>
              <w:left w:val="single" w:color="auto" w:sz="4" w:space="0"/>
              <w:right w:val="single" w:color="auto" w:sz="4" w:space="0"/>
            </w:tcBorders>
            <w:noWrap w:val="0"/>
            <w:vAlign w:val="top"/>
          </w:tcPr>
          <w:p w14:paraId="4B0A34E3">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投标阶段</w:t>
            </w:r>
          </w:p>
        </w:tc>
        <w:tc>
          <w:tcPr>
            <w:tcW w:w="1976" w:type="dxa"/>
            <w:tcBorders>
              <w:top w:val="single" w:color="auto" w:sz="4" w:space="0"/>
              <w:left w:val="single" w:color="auto" w:sz="4" w:space="0"/>
              <w:bottom w:val="single" w:color="auto" w:sz="4" w:space="0"/>
              <w:right w:val="single" w:color="auto" w:sz="4" w:space="0"/>
            </w:tcBorders>
            <w:noWrap w:val="0"/>
            <w:vAlign w:val="top"/>
          </w:tcPr>
          <w:p w14:paraId="5109B722">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PM01</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250E0B15">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工程设计方案</w:t>
            </w:r>
          </w:p>
        </w:tc>
      </w:tr>
      <w:tr w14:paraId="77CDE2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53321E79">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38068C05">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PM02</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0AB86538">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技术支持与服务方案</w:t>
            </w:r>
          </w:p>
        </w:tc>
      </w:tr>
      <w:tr w14:paraId="1C029E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bottom w:val="single" w:color="auto" w:sz="4" w:space="0"/>
              <w:right w:val="single" w:color="auto" w:sz="4" w:space="0"/>
            </w:tcBorders>
            <w:noWrap w:val="0"/>
            <w:vAlign w:val="top"/>
          </w:tcPr>
          <w:p w14:paraId="3581DE51">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0C1F17FF">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PM03</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143E85FC">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培训方案</w:t>
            </w:r>
          </w:p>
        </w:tc>
      </w:tr>
      <w:tr w14:paraId="27B80F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restart"/>
            <w:tcBorders>
              <w:top w:val="single" w:color="auto" w:sz="4" w:space="0"/>
              <w:left w:val="single" w:color="auto" w:sz="4" w:space="0"/>
              <w:right w:val="single" w:color="auto" w:sz="4" w:space="0"/>
            </w:tcBorders>
            <w:noWrap w:val="0"/>
            <w:vAlign w:val="top"/>
          </w:tcPr>
          <w:p w14:paraId="03EC69ED">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 实施准备阶段</w:t>
            </w:r>
          </w:p>
        </w:tc>
        <w:tc>
          <w:tcPr>
            <w:tcW w:w="1976" w:type="dxa"/>
            <w:tcBorders>
              <w:top w:val="single" w:color="auto" w:sz="4" w:space="0"/>
              <w:left w:val="single" w:color="auto" w:sz="4" w:space="0"/>
              <w:bottom w:val="single" w:color="auto" w:sz="4" w:space="0"/>
              <w:right w:val="single" w:color="auto" w:sz="4" w:space="0"/>
            </w:tcBorders>
            <w:noWrap w:val="0"/>
            <w:vAlign w:val="top"/>
          </w:tcPr>
          <w:p w14:paraId="5C5068AE">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PM04</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64BC2A89">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实施计划</w:t>
            </w:r>
          </w:p>
        </w:tc>
      </w:tr>
      <w:tr w14:paraId="13E5A7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145D1A71">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28B20CCC">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PM05</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61B77E62">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设备供货计划</w:t>
            </w:r>
          </w:p>
        </w:tc>
      </w:tr>
      <w:tr w14:paraId="5C2492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1213457E">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383BC2DB">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PM06</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21E6A0D0">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培训计划</w:t>
            </w:r>
          </w:p>
        </w:tc>
      </w:tr>
      <w:tr w14:paraId="0466C7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374F9456">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69C2E32F">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PM07</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5304B572">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安装调试计划</w:t>
            </w:r>
          </w:p>
        </w:tc>
      </w:tr>
      <w:tr w14:paraId="45B25E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1576C6EC">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6F689791">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PM08</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0CF823D7">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系统维护计划</w:t>
            </w:r>
          </w:p>
        </w:tc>
      </w:tr>
      <w:tr w14:paraId="038145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54D13BC4">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76540B3A">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PM09</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2D77206A">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系统验收计划</w:t>
            </w:r>
          </w:p>
        </w:tc>
      </w:tr>
      <w:tr w14:paraId="17A74B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bottom w:val="single" w:color="auto" w:sz="4" w:space="0"/>
              <w:right w:val="single" w:color="auto" w:sz="4" w:space="0"/>
            </w:tcBorders>
            <w:noWrap w:val="0"/>
            <w:vAlign w:val="top"/>
          </w:tcPr>
          <w:p w14:paraId="46319938">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61C94939">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PM10</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11BB61D9">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售后服务计划</w:t>
            </w:r>
          </w:p>
        </w:tc>
      </w:tr>
      <w:tr w14:paraId="2CB79A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restart"/>
            <w:tcBorders>
              <w:top w:val="single" w:color="auto" w:sz="4" w:space="0"/>
              <w:left w:val="single" w:color="auto" w:sz="4" w:space="0"/>
              <w:right w:val="single" w:color="auto" w:sz="4" w:space="0"/>
            </w:tcBorders>
            <w:noWrap w:val="0"/>
            <w:vAlign w:val="top"/>
          </w:tcPr>
          <w:p w14:paraId="06F0107B">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  安装调试阶段</w:t>
            </w:r>
          </w:p>
        </w:tc>
        <w:tc>
          <w:tcPr>
            <w:tcW w:w="1976" w:type="dxa"/>
            <w:tcBorders>
              <w:top w:val="single" w:color="auto" w:sz="4" w:space="0"/>
              <w:left w:val="single" w:color="auto" w:sz="4" w:space="0"/>
              <w:bottom w:val="single" w:color="auto" w:sz="4" w:space="0"/>
              <w:right w:val="single" w:color="auto" w:sz="4" w:space="0"/>
            </w:tcBorders>
            <w:noWrap w:val="0"/>
            <w:vAlign w:val="top"/>
          </w:tcPr>
          <w:p w14:paraId="6B047BEF">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PM11</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4C043F0C">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安装调试手册</w:t>
            </w:r>
          </w:p>
        </w:tc>
      </w:tr>
      <w:tr w14:paraId="6A205A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00DE9BC1">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618B6B10">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PM12</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5DDBFA60">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安装调试记录</w:t>
            </w:r>
          </w:p>
        </w:tc>
      </w:tr>
      <w:tr w14:paraId="638F8B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7FF2552B">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0B1D979F">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PM13</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3347A038">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安装调试过程描述</w:t>
            </w:r>
          </w:p>
        </w:tc>
      </w:tr>
      <w:tr w14:paraId="690E59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bottom w:val="single" w:color="auto" w:sz="4" w:space="0"/>
              <w:right w:val="single" w:color="auto" w:sz="4" w:space="0"/>
            </w:tcBorders>
            <w:noWrap w:val="0"/>
            <w:vAlign w:val="top"/>
          </w:tcPr>
          <w:p w14:paraId="6D0837B4">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1D4D596C">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PM14</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3040C6A3">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安装调试工作总结</w:t>
            </w:r>
          </w:p>
        </w:tc>
      </w:tr>
      <w:tr w14:paraId="16705C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restart"/>
            <w:tcBorders>
              <w:top w:val="single" w:color="auto" w:sz="4" w:space="0"/>
              <w:left w:val="single" w:color="auto" w:sz="4" w:space="0"/>
              <w:right w:val="single" w:color="auto" w:sz="4" w:space="0"/>
            </w:tcBorders>
            <w:noWrap w:val="0"/>
            <w:vAlign w:val="top"/>
          </w:tcPr>
          <w:p w14:paraId="22306449">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培训阶段 </w:t>
            </w:r>
          </w:p>
        </w:tc>
        <w:tc>
          <w:tcPr>
            <w:tcW w:w="1976" w:type="dxa"/>
            <w:tcBorders>
              <w:top w:val="single" w:color="auto" w:sz="4" w:space="0"/>
              <w:left w:val="single" w:color="auto" w:sz="4" w:space="0"/>
              <w:bottom w:val="single" w:color="auto" w:sz="4" w:space="0"/>
              <w:right w:val="single" w:color="auto" w:sz="4" w:space="0"/>
            </w:tcBorders>
            <w:noWrap w:val="0"/>
            <w:vAlign w:val="top"/>
          </w:tcPr>
          <w:p w14:paraId="2AF7CBD4">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PM15</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749563C5">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培训计划</w:t>
            </w:r>
          </w:p>
        </w:tc>
      </w:tr>
      <w:tr w14:paraId="271302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bottom w:val="single" w:color="auto" w:sz="4" w:space="0"/>
              <w:right w:val="single" w:color="auto" w:sz="4" w:space="0"/>
            </w:tcBorders>
            <w:noWrap w:val="0"/>
            <w:vAlign w:val="top"/>
          </w:tcPr>
          <w:p w14:paraId="4664B7FF">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7D758B8D">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PM16</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53334483">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培训手册</w:t>
            </w:r>
          </w:p>
        </w:tc>
      </w:tr>
      <w:tr w14:paraId="30CC42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restart"/>
            <w:tcBorders>
              <w:top w:val="single" w:color="auto" w:sz="4" w:space="0"/>
              <w:left w:val="single" w:color="auto" w:sz="4" w:space="0"/>
              <w:right w:val="single" w:color="auto" w:sz="4" w:space="0"/>
            </w:tcBorders>
            <w:noWrap w:val="0"/>
            <w:vAlign w:val="top"/>
          </w:tcPr>
          <w:p w14:paraId="7FEB19B6">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 系统验收阶段</w:t>
            </w:r>
          </w:p>
        </w:tc>
        <w:tc>
          <w:tcPr>
            <w:tcW w:w="1976" w:type="dxa"/>
            <w:tcBorders>
              <w:top w:val="single" w:color="auto" w:sz="4" w:space="0"/>
              <w:left w:val="single" w:color="auto" w:sz="4" w:space="0"/>
              <w:bottom w:val="single" w:color="auto" w:sz="4" w:space="0"/>
              <w:right w:val="single" w:color="auto" w:sz="4" w:space="0"/>
            </w:tcBorders>
            <w:noWrap w:val="0"/>
            <w:vAlign w:val="top"/>
          </w:tcPr>
          <w:p w14:paraId="20D8E26B">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PM17</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2AD9C123">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需求分析</w:t>
            </w:r>
          </w:p>
        </w:tc>
      </w:tr>
      <w:tr w14:paraId="1452CC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2015" w:type="dxa"/>
            <w:vMerge w:val="continue"/>
            <w:tcBorders>
              <w:left w:val="single" w:color="auto" w:sz="4" w:space="0"/>
              <w:right w:val="single" w:color="auto" w:sz="4" w:space="0"/>
            </w:tcBorders>
            <w:noWrap w:val="0"/>
            <w:vAlign w:val="top"/>
          </w:tcPr>
          <w:p w14:paraId="39FEE1EE">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41E7DDA7">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PM18</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2945D7D5">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详细设计</w:t>
            </w:r>
          </w:p>
        </w:tc>
      </w:tr>
      <w:tr w14:paraId="624EA7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1FCECA52">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60C2EF07">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PM19</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27F5F2F5">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规格设计</w:t>
            </w:r>
          </w:p>
        </w:tc>
      </w:tr>
      <w:tr w14:paraId="43A741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6AE75CA3">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73893A96">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PM20</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595B022F">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单元测试</w:t>
            </w:r>
          </w:p>
        </w:tc>
      </w:tr>
      <w:tr w14:paraId="541B84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4E62FD45">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06D0EB5A">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PM21</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7E939591">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集成测试</w:t>
            </w:r>
          </w:p>
        </w:tc>
      </w:tr>
      <w:tr w14:paraId="0FC209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32236DBF">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239A3BC9">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PM22</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0060D4D4">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用户接受测试</w:t>
            </w:r>
          </w:p>
        </w:tc>
      </w:tr>
      <w:tr w14:paraId="6FBE65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3C6A9D49">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6884C91C">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PM23</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0EACFB65">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配置说明</w:t>
            </w:r>
          </w:p>
        </w:tc>
      </w:tr>
      <w:tr w14:paraId="75A77D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28318380">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43EBE1AC">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PM24</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1F2FBA91">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系统说明书</w:t>
            </w:r>
          </w:p>
        </w:tc>
      </w:tr>
      <w:tr w14:paraId="66240E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460BBA85">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6FB6F0E2">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PM25</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6D0CD1BA">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使用手册</w:t>
            </w:r>
          </w:p>
        </w:tc>
      </w:tr>
      <w:tr w14:paraId="3798FB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6D3D1577">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1EFE3B13">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PM26</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54B5C9B1">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变更管理文档</w:t>
            </w:r>
          </w:p>
        </w:tc>
      </w:tr>
      <w:tr w14:paraId="2AE0F2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66058080">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03576A04">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PM27</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73E011AA">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制度文档</w:t>
            </w:r>
          </w:p>
        </w:tc>
      </w:tr>
      <w:tr w14:paraId="5DB84D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347A4A0A">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44BC4C64">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PM28</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48ED218F">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系统总体设计报告</w:t>
            </w:r>
          </w:p>
        </w:tc>
      </w:tr>
      <w:tr w14:paraId="5312C9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right w:val="single" w:color="auto" w:sz="4" w:space="0"/>
            </w:tcBorders>
            <w:noWrap w:val="0"/>
            <w:vAlign w:val="top"/>
          </w:tcPr>
          <w:p w14:paraId="4B07AD3A">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1D69AE68">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PM29</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6D0C5CD5">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系统数据字典</w:t>
            </w:r>
          </w:p>
        </w:tc>
      </w:tr>
      <w:tr w14:paraId="416118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bottom w:val="single" w:color="auto" w:sz="4" w:space="0"/>
              <w:right w:val="single" w:color="auto" w:sz="4" w:space="0"/>
            </w:tcBorders>
            <w:noWrap w:val="0"/>
            <w:vAlign w:val="top"/>
          </w:tcPr>
          <w:p w14:paraId="55DAC35F">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7962E66C">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PM30</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52F8852C">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系统数据结构与流程</w:t>
            </w:r>
          </w:p>
        </w:tc>
      </w:tr>
      <w:tr w14:paraId="64A1F7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restart"/>
            <w:tcBorders>
              <w:top w:val="single" w:color="auto" w:sz="4" w:space="0"/>
              <w:left w:val="single" w:color="auto" w:sz="4" w:space="0"/>
              <w:right w:val="single" w:color="auto" w:sz="4" w:space="0"/>
            </w:tcBorders>
            <w:noWrap w:val="0"/>
            <w:vAlign w:val="top"/>
          </w:tcPr>
          <w:p w14:paraId="60035500">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 系统维护阶段</w:t>
            </w:r>
          </w:p>
        </w:tc>
        <w:tc>
          <w:tcPr>
            <w:tcW w:w="1976" w:type="dxa"/>
            <w:tcBorders>
              <w:top w:val="single" w:color="auto" w:sz="4" w:space="0"/>
              <w:left w:val="single" w:color="auto" w:sz="4" w:space="0"/>
              <w:bottom w:val="single" w:color="auto" w:sz="4" w:space="0"/>
              <w:right w:val="single" w:color="auto" w:sz="4" w:space="0"/>
            </w:tcBorders>
            <w:noWrap w:val="0"/>
            <w:vAlign w:val="top"/>
          </w:tcPr>
          <w:p w14:paraId="1FA46C3D">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PM31</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31356126">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系统维护手册</w:t>
            </w:r>
          </w:p>
        </w:tc>
      </w:tr>
      <w:tr w14:paraId="21F739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continue"/>
            <w:tcBorders>
              <w:left w:val="single" w:color="auto" w:sz="4" w:space="0"/>
              <w:bottom w:val="single" w:color="auto" w:sz="4" w:space="0"/>
              <w:right w:val="single" w:color="auto" w:sz="4" w:space="0"/>
            </w:tcBorders>
            <w:noWrap w:val="0"/>
            <w:vAlign w:val="top"/>
          </w:tcPr>
          <w:p w14:paraId="373EF539">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4DFCEC25">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PM32</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64ADF1BF">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系统维护记录</w:t>
            </w:r>
          </w:p>
        </w:tc>
      </w:tr>
      <w:tr w14:paraId="20F427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15" w:type="dxa"/>
            <w:vMerge w:val="restart"/>
            <w:tcBorders>
              <w:top w:val="single" w:color="auto" w:sz="4" w:space="0"/>
              <w:left w:val="single" w:color="auto" w:sz="4" w:space="0"/>
              <w:right w:val="single" w:color="auto" w:sz="4" w:space="0"/>
            </w:tcBorders>
            <w:noWrap w:val="0"/>
            <w:vAlign w:val="top"/>
          </w:tcPr>
          <w:p w14:paraId="4A5A932A">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售后服务阶段</w:t>
            </w:r>
          </w:p>
        </w:tc>
        <w:tc>
          <w:tcPr>
            <w:tcW w:w="1976" w:type="dxa"/>
            <w:tcBorders>
              <w:top w:val="single" w:color="auto" w:sz="4" w:space="0"/>
              <w:left w:val="single" w:color="auto" w:sz="4" w:space="0"/>
              <w:bottom w:val="single" w:color="auto" w:sz="4" w:space="0"/>
              <w:right w:val="single" w:color="auto" w:sz="4" w:space="0"/>
            </w:tcBorders>
            <w:noWrap w:val="0"/>
            <w:vAlign w:val="top"/>
          </w:tcPr>
          <w:p w14:paraId="30AA1A77">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PM33</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7BF7BA95">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每月的服务报告</w:t>
            </w:r>
          </w:p>
        </w:tc>
      </w:tr>
      <w:tr w14:paraId="5B54A1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5" w:hRule="atLeast"/>
          <w:jc w:val="center"/>
        </w:trPr>
        <w:tc>
          <w:tcPr>
            <w:tcW w:w="2015" w:type="dxa"/>
            <w:vMerge w:val="continue"/>
            <w:tcBorders>
              <w:left w:val="single" w:color="auto" w:sz="4" w:space="0"/>
              <w:bottom w:val="single" w:color="auto" w:sz="4" w:space="0"/>
              <w:right w:val="single" w:color="auto" w:sz="4" w:space="0"/>
            </w:tcBorders>
            <w:noWrap w:val="0"/>
            <w:vAlign w:val="top"/>
          </w:tcPr>
          <w:p w14:paraId="6A297674">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p>
        </w:tc>
        <w:tc>
          <w:tcPr>
            <w:tcW w:w="1976" w:type="dxa"/>
            <w:tcBorders>
              <w:top w:val="single" w:color="auto" w:sz="4" w:space="0"/>
              <w:left w:val="single" w:color="auto" w:sz="4" w:space="0"/>
              <w:bottom w:val="single" w:color="auto" w:sz="4" w:space="0"/>
              <w:right w:val="single" w:color="auto" w:sz="4" w:space="0"/>
            </w:tcBorders>
            <w:noWrap w:val="0"/>
            <w:vAlign w:val="top"/>
          </w:tcPr>
          <w:p w14:paraId="450267B6">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PM34</w:t>
            </w:r>
          </w:p>
        </w:tc>
        <w:tc>
          <w:tcPr>
            <w:tcW w:w="4031" w:type="dxa"/>
            <w:tcBorders>
              <w:top w:val="single" w:color="auto" w:sz="4" w:space="0"/>
              <w:left w:val="single" w:color="auto" w:sz="4" w:space="0"/>
              <w:bottom w:val="single" w:color="auto" w:sz="4" w:space="0"/>
              <w:right w:val="single" w:color="auto" w:sz="4" w:space="0"/>
            </w:tcBorders>
            <w:noWrap w:val="0"/>
            <w:vAlign w:val="top"/>
          </w:tcPr>
          <w:p w14:paraId="14802DD7">
            <w:pPr>
              <w:adjustRightInd w:val="0"/>
              <w:spacing w:before="0" w:after="0" w:line="400" w:lineRule="exact"/>
              <w:jc w:val="center"/>
              <w:textAlignment w:val="baseline"/>
              <w:rPr>
                <w:rFonts w:hint="eastAsia" w:ascii="仿宋_GB2312" w:hAnsi="仿宋_GB2312" w:eastAsia="仿宋_GB2312" w:cs="仿宋_GB2312"/>
                <w:b w:val="0"/>
                <w:bCs w:val="0"/>
                <w:color w:val="auto"/>
                <w:kern w:val="0"/>
                <w:sz w:val="24"/>
                <w:szCs w:val="20"/>
                <w:highlight w:val="none"/>
                <w:vertAlign w:val="baseline"/>
                <w:lang w:val="en-US" w:eastAsia="zh-CN"/>
              </w:rPr>
            </w:pPr>
            <w:r>
              <w:rPr>
                <w:rFonts w:hint="eastAsia" w:ascii="仿宋_GB2312" w:hAnsi="仿宋_GB2312" w:eastAsia="仿宋_GB2312" w:cs="仿宋_GB2312"/>
                <w:b w:val="0"/>
                <w:bCs w:val="0"/>
                <w:color w:val="auto"/>
                <w:kern w:val="0"/>
                <w:sz w:val="24"/>
                <w:szCs w:val="20"/>
                <w:highlight w:val="none"/>
                <w:vertAlign w:val="baseline"/>
                <w:lang w:val="en-US" w:eastAsia="zh-CN"/>
              </w:rPr>
              <w:t>售后巡检报告</w:t>
            </w:r>
          </w:p>
        </w:tc>
      </w:tr>
    </w:tbl>
    <w:p w14:paraId="10836E95">
      <w:pPr>
        <w:adjustRightInd w:val="0"/>
        <w:spacing w:before="60" w:after="60" w:line="360" w:lineRule="auto"/>
        <w:textAlignment w:val="baseline"/>
        <w:rPr>
          <w:rFonts w:hint="eastAsia" w:ascii="Times New Roman" w:hAnsi="Times New Roman" w:cs="Times New Roman"/>
          <w:b w:val="0"/>
          <w:bCs w:val="0"/>
          <w:color w:val="auto"/>
          <w:kern w:val="0"/>
          <w:sz w:val="24"/>
          <w:szCs w:val="24"/>
          <w:highlight w:val="none"/>
        </w:rPr>
      </w:pPr>
    </w:p>
    <w:p w14:paraId="7034AF78">
      <w:pPr>
        <w:keepNext/>
        <w:keepLines/>
        <w:widowControl w:val="0"/>
        <w:numPr>
          <w:ilvl w:val="2"/>
          <w:numId w:val="1"/>
        </w:numPr>
        <w:adjustRightInd w:val="0"/>
        <w:spacing w:before="180" w:after="180" w:line="360" w:lineRule="auto"/>
        <w:jc w:val="both"/>
        <w:textAlignment w:val="baseline"/>
        <w:outlineLvl w:val="2"/>
        <w:rPr>
          <w:rFonts w:hint="eastAsia" w:ascii="黑体" w:hAnsi="黑体" w:eastAsia="黑体" w:cs="黑体"/>
          <w:b w:val="0"/>
          <w:bCs w:val="0"/>
          <w:color w:val="auto"/>
          <w:sz w:val="24"/>
          <w:szCs w:val="24"/>
          <w:highlight w:val="none"/>
          <w:lang w:val="en-US" w:eastAsia="zh-CN" w:bidi="ar-SA"/>
        </w:rPr>
      </w:pPr>
      <w:bookmarkStart w:id="33" w:name="_Toc22307"/>
      <w:bookmarkStart w:id="34" w:name="_Toc318241550"/>
      <w:r>
        <w:rPr>
          <w:rFonts w:hint="eastAsia" w:ascii="黑体" w:hAnsi="黑体" w:eastAsia="黑体" w:cs="黑体"/>
          <w:b w:val="0"/>
          <w:bCs w:val="0"/>
          <w:color w:val="auto"/>
          <w:sz w:val="24"/>
          <w:szCs w:val="24"/>
          <w:highlight w:val="none"/>
          <w:lang w:val="en-US" w:eastAsia="zh-CN" w:bidi="ar-SA"/>
        </w:rPr>
        <w:t>风险分析与对策</w:t>
      </w:r>
      <w:bookmarkEnd w:id="33"/>
      <w:bookmarkEnd w:id="34"/>
    </w:p>
    <w:p w14:paraId="3CB0B3A6">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35" w:name="_Toc1451449820"/>
      <w:r>
        <w:rPr>
          <w:rFonts w:hint="eastAsia" w:ascii="黑体" w:hAnsi="黑体" w:eastAsia="黑体" w:cs="黑体"/>
          <w:b w:val="0"/>
          <w:bCs w:val="0"/>
          <w:color w:val="auto"/>
          <w:sz w:val="24"/>
          <w:szCs w:val="30"/>
          <w:highlight w:val="none"/>
          <w:lang w:val="en-US" w:eastAsia="zh-CN" w:bidi="ar-SA"/>
        </w:rPr>
        <w:t>项目进度的风险</w:t>
      </w:r>
      <w:bookmarkEnd w:id="35"/>
    </w:p>
    <w:p w14:paraId="61FBF0D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由于项目进度的控制绝非易事，它不仅取决公司的技术能力，服务水平，同时也在很大程度上受到对范围控制是否有效、对项目投入（包括人员时间的投入和资金等的投入）是否足够等方面的影响。本项目实施工期紧，任务重，投标人需根据项目本身的特殊性，制订工程实施准备、工程试点实施、全面实施准备、工程全面实施四个阶段，以确保工程实施达到预期目的。</w:t>
      </w:r>
    </w:p>
    <w:p w14:paraId="6CEB8370">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36" w:name="_Toc1250378467"/>
      <w:r>
        <w:rPr>
          <w:rFonts w:hint="eastAsia" w:ascii="黑体" w:hAnsi="黑体" w:eastAsia="黑体" w:cs="黑体"/>
          <w:b w:val="0"/>
          <w:bCs w:val="0"/>
          <w:color w:val="auto"/>
          <w:sz w:val="24"/>
          <w:szCs w:val="30"/>
          <w:highlight w:val="none"/>
          <w:lang w:val="en-US" w:eastAsia="zh-CN" w:bidi="ar-SA"/>
        </w:rPr>
        <w:t>项目人力资源的风险</w:t>
      </w:r>
      <w:bookmarkEnd w:id="36"/>
    </w:p>
    <w:p w14:paraId="6EDFBF5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人力资源是本项目实施过程中最为关键的资源。保证合适的人员以足够的精力参与到项目中来，是项目成功实施的基本保证。项目实施中将调动骨干技术人员为关键，保证进入到项目中并承担角色的各类人员满足项目要求。同时，保证项目人员对项目的投入程度。将参与本项目人员的业绩评估与该项目实施的状况相关联，明确本项目是在该阶段项目相关人员最重要的本职工作；制订适当的奖惩措施；在项目中建立“一把手工程”的思想，层层“一把手”，即各级负责人针对本项目实施向下行使全权、对上担负全责，将一把手从个体概念延伸到有机结合的群体概念。</w:t>
      </w:r>
    </w:p>
    <w:p w14:paraId="09D02782">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37" w:name="_Toc1983408974"/>
      <w:r>
        <w:rPr>
          <w:rFonts w:hint="eastAsia" w:ascii="黑体" w:hAnsi="黑体" w:eastAsia="黑体" w:cs="黑体"/>
          <w:b w:val="0"/>
          <w:bCs w:val="0"/>
          <w:color w:val="auto"/>
          <w:sz w:val="24"/>
          <w:szCs w:val="30"/>
          <w:highlight w:val="none"/>
          <w:lang w:val="en-US" w:eastAsia="zh-CN" w:bidi="ar-SA"/>
        </w:rPr>
        <w:t>对实际环境不熟悉的风险</w:t>
      </w:r>
      <w:bookmarkEnd w:id="37"/>
    </w:p>
    <w:p w14:paraId="403C5E02">
      <w:pPr>
        <w:widowControl/>
        <w:adjustRightInd/>
        <w:spacing w:before="0" w:after="0" w:line="400" w:lineRule="exact"/>
        <w:ind w:firstLine="480" w:firstLineChars="200"/>
        <w:jc w:val="left"/>
        <w:textAlignment w:val="auto"/>
        <w:rPr>
          <w:rFonts w:hint="eastAsia" w:ascii="仿宋_GB2312" w:hAnsi="Times New Roman" w:eastAsia="仿宋_GB2312" w:cs="Times New Roman"/>
          <w:b w:val="0"/>
          <w:bCs w:val="0"/>
          <w:color w:val="auto"/>
          <w:sz w:val="24"/>
          <w:highlight w:val="none"/>
          <w:lang w:val="en-US" w:eastAsia="zh-CN" w:bidi="ar-SA"/>
        </w:rPr>
      </w:pPr>
      <w:r>
        <w:rPr>
          <w:rFonts w:hint="eastAsia" w:ascii="仿宋_GB2312" w:hAnsi="仿宋_GB2312" w:eastAsia="仿宋_GB2312" w:cs="仿宋_GB2312"/>
          <w:b w:val="0"/>
          <w:bCs w:val="0"/>
          <w:color w:val="auto"/>
          <w:sz w:val="24"/>
          <w:highlight w:val="none"/>
          <w:lang w:val="en-US" w:eastAsia="en-US" w:bidi="ar-SA"/>
        </w:rPr>
        <w:t>大部分网络应用是由软件开发商开发，不同的开发商所使用的开发工具、数据库</w:t>
      </w:r>
      <w:r>
        <w:rPr>
          <w:rFonts w:hint="eastAsia" w:ascii="仿宋_GB2312" w:hAnsi="Times New Roman" w:eastAsia="仿宋_GB2312" w:cs="Times New Roman"/>
          <w:b w:val="0"/>
          <w:bCs w:val="0"/>
          <w:color w:val="auto"/>
          <w:sz w:val="24"/>
          <w:highlight w:val="none"/>
          <w:lang w:val="en-US" w:eastAsia="zh-CN" w:bidi="ar-SA"/>
        </w:rPr>
        <w:t>、协议等等都不相同，并且网络设备也不尽相同，这就对项目的实施提出了很高的要求，需要按实际环境而调整。针对上述情况，采购方将与投标人的安全工程师认真分析现场环境，确认后再实施。</w:t>
      </w:r>
    </w:p>
    <w:p w14:paraId="10028F02">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38" w:name="_Toc1913457284"/>
      <w:r>
        <w:rPr>
          <w:rFonts w:hint="eastAsia" w:ascii="黑体" w:hAnsi="黑体" w:eastAsia="黑体" w:cs="黑体"/>
          <w:b w:val="0"/>
          <w:bCs w:val="0"/>
          <w:color w:val="auto"/>
          <w:sz w:val="24"/>
          <w:szCs w:val="30"/>
          <w:highlight w:val="none"/>
          <w:lang w:val="en-US" w:eastAsia="zh-CN" w:bidi="ar-SA"/>
        </w:rPr>
        <w:t>产品故障导致的风险</w:t>
      </w:r>
      <w:bookmarkEnd w:id="38"/>
    </w:p>
    <w:p w14:paraId="1FDF825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在设备运输过程中或实施过程中可能会出现产品故障，产品故障会使整个项目实施计划及时送到用户现场，在最短的时间内恢复故障。</w:t>
      </w:r>
    </w:p>
    <w:p w14:paraId="121E33F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本项目实施中的风险监控</w:t>
      </w:r>
    </w:p>
    <w:p w14:paraId="1790DBE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拟采取以下措施对本项目实施中的风险进行监控，以防止危及项目成败的风险发生。</w:t>
      </w:r>
    </w:p>
    <w:p w14:paraId="66F9769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建立并及时更新项目风险列表及风险排序。项目管理人员随时关注与关键风险相关因素的变化情况，及时决定何时、采用何种风险应对措施。</w:t>
      </w:r>
    </w:p>
    <w:p w14:paraId="38F4554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风险应对审计：随时关注风险应对措施（规避、减轻、转移）实施的效果，对残余风险进行评估。</w:t>
      </w:r>
    </w:p>
    <w:p w14:paraId="49FB5F11">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建立报告机制，及时将项目中存在的问题反映到项目经理或项目管理层。</w:t>
      </w:r>
    </w:p>
    <w:p w14:paraId="074962B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定期召集项目干系人召开项目会议，对风险状况进行评估，并通过各方面对项目实施的反应来发现新风险。</w:t>
      </w:r>
    </w:p>
    <w:p w14:paraId="06A72ED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更新相关数据库如风险识别检查表，以利于今后类似项目的实施。</w:t>
      </w:r>
    </w:p>
    <w:p w14:paraId="60A8CC43">
      <w:pPr>
        <w:keepNext/>
        <w:keepLines/>
        <w:widowControl w:val="0"/>
        <w:numPr>
          <w:ilvl w:val="2"/>
          <w:numId w:val="1"/>
        </w:numPr>
        <w:adjustRightInd w:val="0"/>
        <w:spacing w:before="180" w:after="180" w:line="360" w:lineRule="auto"/>
        <w:jc w:val="both"/>
        <w:textAlignment w:val="baseline"/>
        <w:outlineLvl w:val="2"/>
        <w:rPr>
          <w:rFonts w:hint="eastAsia" w:ascii="黑体" w:hAnsi="黑体" w:eastAsia="黑体" w:cs="黑体"/>
          <w:b w:val="0"/>
          <w:bCs w:val="0"/>
          <w:color w:val="auto"/>
          <w:sz w:val="24"/>
          <w:szCs w:val="24"/>
          <w:highlight w:val="none"/>
          <w:lang w:val="en-US" w:eastAsia="zh-CN" w:bidi="ar-SA"/>
        </w:rPr>
      </w:pPr>
      <w:bookmarkStart w:id="39" w:name="_Toc908958363"/>
      <w:bookmarkStart w:id="40" w:name="_Toc12820"/>
      <w:r>
        <w:rPr>
          <w:rFonts w:hint="eastAsia" w:ascii="黑体" w:hAnsi="黑体" w:eastAsia="黑体" w:cs="黑体"/>
          <w:b w:val="0"/>
          <w:bCs w:val="0"/>
          <w:color w:val="auto"/>
          <w:sz w:val="24"/>
          <w:szCs w:val="24"/>
          <w:highlight w:val="none"/>
          <w:lang w:val="en-US" w:eastAsia="zh-CN" w:bidi="ar-SA"/>
        </w:rPr>
        <w:t>质量保障</w:t>
      </w:r>
      <w:bookmarkEnd w:id="39"/>
      <w:bookmarkEnd w:id="40"/>
    </w:p>
    <w:p w14:paraId="6DD9655E">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41" w:name="_Toc1812025830"/>
      <w:r>
        <w:rPr>
          <w:rFonts w:hint="eastAsia" w:ascii="黑体" w:hAnsi="黑体" w:eastAsia="黑体" w:cs="黑体"/>
          <w:b w:val="0"/>
          <w:bCs w:val="0"/>
          <w:color w:val="auto"/>
          <w:sz w:val="24"/>
          <w:szCs w:val="30"/>
          <w:highlight w:val="none"/>
          <w:lang w:val="en-US" w:eastAsia="zh-CN" w:bidi="ar-SA"/>
        </w:rPr>
        <w:t>质量保证措施</w:t>
      </w:r>
      <w:bookmarkEnd w:id="41"/>
    </w:p>
    <w:p w14:paraId="5B59F2A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严格履行合同规定的技术服务任务，未经</w:t>
      </w:r>
      <w:r>
        <w:rPr>
          <w:rFonts w:hint="eastAsia" w:ascii="仿宋_GB2312" w:hAnsi="Times New Roman" w:eastAsia="仿宋_GB2312" w:cs="Times New Roman"/>
          <w:b w:val="0"/>
          <w:bCs w:val="0"/>
          <w:color w:val="auto"/>
          <w:kern w:val="0"/>
          <w:sz w:val="24"/>
          <w:szCs w:val="20"/>
          <w:highlight w:val="none"/>
          <w:lang w:val="en-US" w:eastAsia="zh-CN"/>
        </w:rPr>
        <w:t>采购人</w:t>
      </w:r>
      <w:r>
        <w:rPr>
          <w:rFonts w:hint="eastAsia" w:ascii="仿宋_GB2312" w:hAnsi="Times New Roman" w:eastAsia="仿宋_GB2312" w:cs="Times New Roman"/>
          <w:b w:val="0"/>
          <w:bCs w:val="0"/>
          <w:color w:val="auto"/>
          <w:kern w:val="0"/>
          <w:sz w:val="24"/>
          <w:szCs w:val="20"/>
          <w:highlight w:val="none"/>
        </w:rPr>
        <w:t>许可，不得转包或分包</w:t>
      </w:r>
      <w:r>
        <w:rPr>
          <w:rFonts w:hint="eastAsia" w:ascii="仿宋_GB2312" w:hAnsi="Times New Roman" w:eastAsia="仿宋_GB2312" w:cs="Times New Roman"/>
          <w:b w:val="0"/>
          <w:bCs w:val="0"/>
          <w:color w:val="auto"/>
          <w:kern w:val="0"/>
          <w:sz w:val="24"/>
          <w:szCs w:val="20"/>
          <w:highlight w:val="none"/>
          <w:lang w:eastAsia="zh-CN"/>
        </w:rPr>
        <w:t>（</w:t>
      </w:r>
      <w:r>
        <w:rPr>
          <w:rFonts w:hint="eastAsia" w:ascii="仿宋_GB2312" w:hAnsi="Times New Roman" w:eastAsia="仿宋_GB2312" w:cs="Times New Roman"/>
          <w:b w:val="0"/>
          <w:bCs w:val="0"/>
          <w:color w:val="auto"/>
          <w:kern w:val="0"/>
          <w:sz w:val="24"/>
          <w:szCs w:val="20"/>
          <w:highlight w:val="none"/>
          <w:lang w:val="en-US" w:eastAsia="zh-CN"/>
        </w:rPr>
        <w:t>提供承诺函）</w:t>
      </w:r>
      <w:r>
        <w:rPr>
          <w:rFonts w:hint="eastAsia" w:ascii="仿宋_GB2312" w:hAnsi="Times New Roman" w:eastAsia="仿宋_GB2312" w:cs="Times New Roman"/>
          <w:b w:val="0"/>
          <w:bCs w:val="0"/>
          <w:color w:val="auto"/>
          <w:kern w:val="0"/>
          <w:sz w:val="24"/>
          <w:szCs w:val="20"/>
          <w:highlight w:val="none"/>
        </w:rPr>
        <w:t>。</w:t>
      </w:r>
    </w:p>
    <w:p w14:paraId="58D6E3E8">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在工程项目中</w:t>
      </w:r>
      <w:r>
        <w:rPr>
          <w:rFonts w:hint="eastAsia" w:ascii="仿宋_GB2312" w:hAnsi="Times New Roman" w:eastAsia="仿宋_GB2312" w:cs="Times New Roman"/>
          <w:b w:val="0"/>
          <w:bCs w:val="0"/>
          <w:color w:val="auto"/>
          <w:kern w:val="0"/>
          <w:sz w:val="24"/>
          <w:szCs w:val="20"/>
          <w:highlight w:val="none"/>
          <w:lang w:val="en-US" w:eastAsia="zh-CN"/>
        </w:rPr>
        <w:t>必须</w:t>
      </w:r>
      <w:r>
        <w:rPr>
          <w:rFonts w:hint="eastAsia" w:ascii="仿宋_GB2312" w:hAnsi="Times New Roman" w:eastAsia="仿宋_GB2312" w:cs="Times New Roman"/>
          <w:b w:val="0"/>
          <w:bCs w:val="0"/>
          <w:color w:val="auto"/>
          <w:kern w:val="0"/>
          <w:sz w:val="24"/>
          <w:szCs w:val="20"/>
          <w:highlight w:val="none"/>
        </w:rPr>
        <w:t>建立设备和系统的验收准则，并对项目实施过程中的到货验收、安装和调试的工作情况编写足够的记录</w:t>
      </w:r>
      <w:r>
        <w:rPr>
          <w:rFonts w:hint="eastAsia" w:ascii="仿宋_GB2312" w:hAnsi="Times New Roman" w:eastAsia="仿宋_GB2312" w:cs="Times New Roman"/>
          <w:b w:val="0"/>
          <w:bCs w:val="0"/>
          <w:color w:val="auto"/>
          <w:kern w:val="0"/>
          <w:sz w:val="24"/>
          <w:szCs w:val="20"/>
          <w:highlight w:val="none"/>
          <w:lang w:eastAsia="zh-CN"/>
        </w:rPr>
        <w:t>（</w:t>
      </w:r>
      <w:r>
        <w:rPr>
          <w:rFonts w:hint="eastAsia" w:ascii="仿宋_GB2312" w:hAnsi="Times New Roman" w:eastAsia="仿宋_GB2312" w:cs="Times New Roman"/>
          <w:b w:val="0"/>
          <w:bCs w:val="0"/>
          <w:color w:val="auto"/>
          <w:kern w:val="0"/>
          <w:sz w:val="24"/>
          <w:szCs w:val="20"/>
          <w:highlight w:val="none"/>
          <w:lang w:val="en-US" w:eastAsia="zh-CN"/>
        </w:rPr>
        <w:t>提供承诺函）</w:t>
      </w:r>
      <w:r>
        <w:rPr>
          <w:rFonts w:hint="eastAsia" w:ascii="仿宋_GB2312" w:hAnsi="Times New Roman" w:eastAsia="仿宋_GB2312" w:cs="Times New Roman"/>
          <w:b w:val="0"/>
          <w:bCs w:val="0"/>
          <w:color w:val="auto"/>
          <w:kern w:val="0"/>
          <w:sz w:val="24"/>
          <w:szCs w:val="20"/>
          <w:highlight w:val="none"/>
        </w:rPr>
        <w:t>。</w:t>
      </w:r>
    </w:p>
    <w:p w14:paraId="7F690A1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default"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要求</w:t>
      </w:r>
      <w:r>
        <w:rPr>
          <w:rFonts w:hint="eastAsia" w:ascii="仿宋_GB2312" w:hAnsi="Times New Roman" w:eastAsia="仿宋_GB2312" w:cs="Times New Roman"/>
          <w:b w:val="0"/>
          <w:bCs w:val="0"/>
          <w:color w:val="auto"/>
          <w:kern w:val="0"/>
          <w:sz w:val="24"/>
          <w:szCs w:val="20"/>
          <w:highlight w:val="none"/>
        </w:rPr>
        <w:t>按合同规定提供良好的售后服务，包括硬件维修、软件维护和升级、备件供应和技术支持，</w:t>
      </w:r>
      <w:r>
        <w:rPr>
          <w:rFonts w:hint="eastAsia" w:ascii="仿宋_GB2312" w:hAnsi="Times New Roman" w:eastAsia="仿宋_GB2312" w:cs="Times New Roman"/>
          <w:b w:val="0"/>
          <w:bCs w:val="0"/>
          <w:color w:val="auto"/>
          <w:kern w:val="0"/>
          <w:sz w:val="24"/>
          <w:szCs w:val="20"/>
          <w:highlight w:val="none"/>
          <w:lang w:val="en-US" w:eastAsia="zh-CN"/>
        </w:rPr>
        <w:t>必须</w:t>
      </w:r>
      <w:r>
        <w:rPr>
          <w:rFonts w:hint="eastAsia" w:ascii="仿宋_GB2312" w:hAnsi="Times New Roman" w:eastAsia="仿宋_GB2312" w:cs="Times New Roman"/>
          <w:b w:val="0"/>
          <w:bCs w:val="0"/>
          <w:color w:val="auto"/>
          <w:kern w:val="0"/>
          <w:sz w:val="24"/>
          <w:szCs w:val="20"/>
          <w:highlight w:val="none"/>
        </w:rPr>
        <w:t>保证计算机系统的</w:t>
      </w:r>
      <w:r>
        <w:rPr>
          <w:rFonts w:hint="eastAsia" w:ascii="仿宋_GB2312" w:hAnsi="Times New Roman" w:eastAsia="仿宋_GB2312" w:cs="Times New Roman"/>
          <w:b w:val="0"/>
          <w:bCs w:val="0"/>
          <w:color w:val="auto"/>
          <w:kern w:val="0"/>
          <w:sz w:val="24"/>
          <w:szCs w:val="20"/>
          <w:highlight w:val="none"/>
          <w:lang w:val="en-US" w:eastAsia="zh-CN"/>
        </w:rPr>
        <w:t>正常</w:t>
      </w:r>
      <w:r>
        <w:rPr>
          <w:rFonts w:hint="eastAsia" w:ascii="仿宋_GB2312" w:hAnsi="Times New Roman" w:eastAsia="仿宋_GB2312" w:cs="Times New Roman"/>
          <w:b w:val="0"/>
          <w:bCs w:val="0"/>
          <w:color w:val="auto"/>
          <w:kern w:val="0"/>
          <w:sz w:val="24"/>
          <w:szCs w:val="20"/>
          <w:highlight w:val="none"/>
        </w:rPr>
        <w:t>运行</w:t>
      </w:r>
      <w:r>
        <w:rPr>
          <w:rFonts w:hint="eastAsia" w:ascii="仿宋_GB2312" w:hAnsi="Times New Roman" w:eastAsia="仿宋_GB2312" w:cs="Times New Roman"/>
          <w:b w:val="0"/>
          <w:bCs w:val="0"/>
          <w:color w:val="auto"/>
          <w:kern w:val="0"/>
          <w:sz w:val="24"/>
          <w:szCs w:val="20"/>
          <w:highlight w:val="none"/>
          <w:lang w:eastAsia="zh-CN"/>
        </w:rPr>
        <w:t>（</w:t>
      </w:r>
      <w:r>
        <w:rPr>
          <w:rFonts w:hint="eastAsia" w:ascii="仿宋_GB2312" w:hAnsi="Times New Roman" w:eastAsia="仿宋_GB2312" w:cs="Times New Roman"/>
          <w:b w:val="0"/>
          <w:bCs w:val="0"/>
          <w:color w:val="auto"/>
          <w:kern w:val="0"/>
          <w:sz w:val="24"/>
          <w:szCs w:val="20"/>
          <w:highlight w:val="none"/>
          <w:lang w:val="en-US" w:eastAsia="zh-CN"/>
        </w:rPr>
        <w:t>提供承诺函）</w:t>
      </w:r>
      <w:r>
        <w:rPr>
          <w:rFonts w:hint="eastAsia" w:ascii="仿宋_GB2312" w:hAnsi="Times New Roman" w:eastAsia="仿宋_GB2312" w:cs="Times New Roman"/>
          <w:b w:val="0"/>
          <w:bCs w:val="0"/>
          <w:color w:val="auto"/>
          <w:kern w:val="0"/>
          <w:sz w:val="24"/>
          <w:szCs w:val="20"/>
          <w:highlight w:val="none"/>
        </w:rPr>
        <w:t>。</w:t>
      </w:r>
    </w:p>
    <w:p w14:paraId="4CEF7842">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42" w:name="_Toc1252526703"/>
      <w:r>
        <w:rPr>
          <w:rFonts w:hint="eastAsia" w:ascii="黑体" w:hAnsi="黑体" w:eastAsia="黑体" w:cs="黑体"/>
          <w:b w:val="0"/>
          <w:bCs w:val="0"/>
          <w:color w:val="auto"/>
          <w:sz w:val="24"/>
          <w:szCs w:val="30"/>
          <w:highlight w:val="none"/>
          <w:lang w:val="en-US" w:eastAsia="zh-CN" w:bidi="ar-SA"/>
        </w:rPr>
        <w:t>质量管理体系</w:t>
      </w:r>
      <w:bookmarkEnd w:id="42"/>
    </w:p>
    <w:p w14:paraId="0399885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为有效控制综合信息系统建设项目的全过程，保证项目完成的高质量，必须建立一套严密，协调高效的全方位的管理体系。</w:t>
      </w:r>
    </w:p>
    <w:p w14:paraId="23A3DCA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组织保证体系</w:t>
      </w:r>
    </w:p>
    <w:p w14:paraId="5C4F1BF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工程质量是各项管理的综合反映，也是管理水平的具体体现，必须健全组织，分工负责，形成一个有明确任务，职责，权限、互相协调的互相促进的有机整体。</w:t>
      </w:r>
    </w:p>
    <w:p w14:paraId="0257F76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US" w:eastAsia="zh-CN"/>
        </w:rPr>
        <w:t>必须要有</w:t>
      </w:r>
      <w:r>
        <w:rPr>
          <w:rFonts w:hint="eastAsia" w:ascii="仿宋_GB2312" w:hAnsi="Times New Roman" w:eastAsia="仿宋_GB2312" w:cs="Times New Roman"/>
          <w:b w:val="0"/>
          <w:bCs w:val="0"/>
          <w:color w:val="auto"/>
          <w:kern w:val="0"/>
          <w:sz w:val="24"/>
          <w:szCs w:val="20"/>
          <w:highlight w:val="none"/>
          <w:lang w:val="en-GB"/>
        </w:rPr>
        <w:t>质量监督管理小组负责：建立严格的质量保证制度，技术管理制度，技术责任制；明确项目中各项任务，责任人，做到各尽其职，各负其责。</w:t>
      </w:r>
    </w:p>
    <w:p w14:paraId="5A23F63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工作保证体系</w:t>
      </w:r>
    </w:p>
    <w:p w14:paraId="7BFA9E9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lang w:val="en-US" w:eastAsia="zh-CN"/>
        </w:rPr>
        <w:t>要有</w:t>
      </w:r>
      <w:r>
        <w:rPr>
          <w:rFonts w:hint="eastAsia" w:ascii="仿宋_GB2312" w:hAnsi="Times New Roman" w:eastAsia="仿宋_GB2312" w:cs="Times New Roman"/>
          <w:b w:val="0"/>
          <w:bCs w:val="0"/>
          <w:color w:val="auto"/>
          <w:kern w:val="0"/>
          <w:sz w:val="24"/>
          <w:szCs w:val="20"/>
          <w:highlight w:val="none"/>
        </w:rPr>
        <w:t>下列几个方面建立工作保证体系：</w:t>
      </w:r>
    </w:p>
    <w:p w14:paraId="6468D6C8">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项目准备阶段的质量控制</w:t>
      </w:r>
    </w:p>
    <w:p w14:paraId="5E622E6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选用高素质的技术人员</w:t>
      </w:r>
    </w:p>
    <w:p w14:paraId="5FA8E4B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严格产品、材料质量</w:t>
      </w:r>
    </w:p>
    <w:p w14:paraId="1302CCD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项目建设阶段的质量控制</w:t>
      </w:r>
    </w:p>
    <w:p w14:paraId="14CB007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加强工序管理，对分项工程进行质量控制，如软件需求分析、总体设计等</w:t>
      </w:r>
    </w:p>
    <w:p w14:paraId="36A6B9A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加强质量检查，明确提出质量控制点，经质量检测合格后才能进入下一工序</w:t>
      </w:r>
    </w:p>
    <w:p w14:paraId="37EDB21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使质量控制制度化，程序化。</w:t>
      </w:r>
    </w:p>
    <w:p w14:paraId="3D192A1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建立内控标准，如布线工程，软件开发。</w:t>
      </w:r>
    </w:p>
    <w:p w14:paraId="0C73D0C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验收阶段的质量控制</w:t>
      </w:r>
    </w:p>
    <w:p w14:paraId="7637CA7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搞好成品保护</w:t>
      </w:r>
    </w:p>
    <w:p w14:paraId="03CA82B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严格验收测试</w:t>
      </w:r>
    </w:p>
    <w:p w14:paraId="0E4A053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做好总结，加以改进</w:t>
      </w:r>
    </w:p>
    <w:p w14:paraId="7E73EB51">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43" w:name="_Toc1581589427"/>
      <w:r>
        <w:rPr>
          <w:rFonts w:hint="eastAsia" w:ascii="黑体" w:hAnsi="黑体" w:eastAsia="黑体" w:cs="黑体"/>
          <w:b w:val="0"/>
          <w:bCs w:val="0"/>
          <w:color w:val="auto"/>
          <w:sz w:val="24"/>
          <w:szCs w:val="30"/>
          <w:highlight w:val="none"/>
          <w:lang w:val="en-US" w:eastAsia="zh-CN" w:bidi="ar-SA"/>
        </w:rPr>
        <w:t>质量控制</w:t>
      </w:r>
      <w:bookmarkEnd w:id="43"/>
    </w:p>
    <w:p w14:paraId="777EF94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为保证项目实施工作的质量，</w:t>
      </w:r>
      <w:r>
        <w:rPr>
          <w:rFonts w:hint="eastAsia" w:ascii="仿宋_GB2312" w:hAnsi="Times New Roman" w:eastAsia="仿宋_GB2312" w:cs="Times New Roman"/>
          <w:b w:val="0"/>
          <w:bCs w:val="0"/>
          <w:color w:val="auto"/>
          <w:kern w:val="0"/>
          <w:sz w:val="24"/>
          <w:szCs w:val="20"/>
          <w:highlight w:val="none"/>
          <w:lang w:val="en-US" w:eastAsia="zh-CN"/>
        </w:rPr>
        <w:t>要求实施方</w:t>
      </w:r>
      <w:r>
        <w:rPr>
          <w:rFonts w:hint="eastAsia" w:ascii="仿宋_GB2312" w:hAnsi="Times New Roman" w:eastAsia="仿宋_GB2312" w:cs="Times New Roman"/>
          <w:b w:val="0"/>
          <w:bCs w:val="0"/>
          <w:color w:val="auto"/>
          <w:kern w:val="0"/>
          <w:sz w:val="24"/>
          <w:szCs w:val="20"/>
          <w:highlight w:val="none"/>
        </w:rPr>
        <w:t>专门设立了项目管理部和质量管理部。</w:t>
      </w:r>
    </w:p>
    <w:p w14:paraId="5DA5BC38">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项目管理部对项目实施的各阶段和过程制定严格的入口、出口条件，对各阶段内的工作任务和流程也进行标准化定义，要求各项目实施都按照标准的方式方法进行，从制度上保证项目实施工作的质量。</w:t>
      </w:r>
    </w:p>
    <w:p w14:paraId="4846EB5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质量管理部根据项目管理制度的要求，对各阶段的任务执行情况进行监督和检查，发现问题及时要求项目现场进行整改。</w:t>
      </w:r>
    </w:p>
    <w:p w14:paraId="4F99541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为了将对质量管理和控制到实处，根据</w:t>
      </w:r>
      <w:r>
        <w:rPr>
          <w:rFonts w:hint="eastAsia" w:ascii="仿宋_GB2312" w:hAnsi="Times New Roman" w:eastAsia="仿宋_GB2312" w:cs="Times New Roman"/>
          <w:b w:val="0"/>
          <w:bCs w:val="0"/>
          <w:color w:val="auto"/>
          <w:kern w:val="0"/>
          <w:sz w:val="24"/>
          <w:szCs w:val="20"/>
          <w:highlight w:val="none"/>
          <w:lang w:val="en-US" w:eastAsia="zh-CN"/>
        </w:rPr>
        <w:t>我方</w:t>
      </w:r>
      <w:r>
        <w:rPr>
          <w:rFonts w:hint="eastAsia" w:ascii="仿宋_GB2312" w:hAnsi="Times New Roman" w:eastAsia="仿宋_GB2312" w:cs="Times New Roman"/>
          <w:b w:val="0"/>
          <w:bCs w:val="0"/>
          <w:color w:val="auto"/>
          <w:kern w:val="0"/>
          <w:sz w:val="24"/>
          <w:szCs w:val="20"/>
          <w:highlight w:val="none"/>
        </w:rPr>
        <w:t>的需求和项目范围定义出质量控制的内容：</w:t>
      </w:r>
    </w:p>
    <w:p w14:paraId="3104E62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项目过程质量控制：决定项目能够在计划时间内完成。</w:t>
      </w:r>
    </w:p>
    <w:p w14:paraId="69B42BD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系统需求质量的控制：决定系统对能否满足对医院目标的支持，系统能否对业务功能、管理功能和决策功能的支持。</w:t>
      </w:r>
    </w:p>
    <w:p w14:paraId="215A94D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实施质量的控制：决定现有系统能平滑的切换。</w:t>
      </w:r>
    </w:p>
    <w:p w14:paraId="3F50C0E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为了实现对实施质量和进度控制的要求，</w:t>
      </w:r>
      <w:r>
        <w:rPr>
          <w:rFonts w:hint="eastAsia" w:ascii="仿宋_GB2312" w:hAnsi="Times New Roman" w:eastAsia="仿宋_GB2312" w:cs="Times New Roman"/>
          <w:b w:val="0"/>
          <w:bCs w:val="0"/>
          <w:color w:val="auto"/>
          <w:kern w:val="0"/>
          <w:sz w:val="24"/>
          <w:szCs w:val="20"/>
          <w:highlight w:val="none"/>
          <w:lang w:val="en-US" w:eastAsia="zh-CN"/>
        </w:rPr>
        <w:t>对实施方的要求如下</w:t>
      </w:r>
      <w:r>
        <w:rPr>
          <w:rFonts w:hint="eastAsia" w:ascii="仿宋_GB2312" w:hAnsi="Times New Roman" w:eastAsia="仿宋_GB2312" w:cs="Times New Roman"/>
          <w:b w:val="0"/>
          <w:bCs w:val="0"/>
          <w:color w:val="auto"/>
          <w:kern w:val="0"/>
          <w:sz w:val="24"/>
          <w:szCs w:val="20"/>
          <w:highlight w:val="none"/>
        </w:rPr>
        <w:t>：</w:t>
      </w:r>
    </w:p>
    <w:p w14:paraId="4CFCA6C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组建良好的项目团队。</w:t>
      </w:r>
    </w:p>
    <w:p w14:paraId="69505AD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定义合理项目管理策略。</w:t>
      </w:r>
    </w:p>
    <w:p w14:paraId="1F31A73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定义一般的项目管理过程。</w:t>
      </w:r>
    </w:p>
    <w:p w14:paraId="3ACA0E7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重点强调质量管理过程、需求管理过程、系统部署过程和进度控制过程。</w:t>
      </w:r>
    </w:p>
    <w:p w14:paraId="1E49B380">
      <w:pPr>
        <w:keepNext/>
        <w:keepLines/>
        <w:widowControl w:val="0"/>
        <w:numPr>
          <w:ilvl w:val="3"/>
          <w:numId w:val="1"/>
        </w:numPr>
        <w:adjustRightInd w:val="0"/>
        <w:spacing w:before="0" w:after="0" w:line="360" w:lineRule="auto"/>
        <w:ind w:left="0" w:firstLine="0"/>
        <w:jc w:val="both"/>
        <w:textAlignment w:val="baseline"/>
        <w:outlineLvl w:val="3"/>
        <w:rPr>
          <w:rFonts w:hint="default" w:ascii="黑体" w:hAnsi="黑体" w:eastAsia="黑体" w:cs="黑体"/>
          <w:b w:val="0"/>
          <w:bCs w:val="0"/>
          <w:color w:val="auto"/>
          <w:sz w:val="24"/>
          <w:szCs w:val="30"/>
          <w:highlight w:val="none"/>
          <w:lang w:val="en-US" w:eastAsia="zh-CN" w:bidi="ar-SA"/>
        </w:rPr>
      </w:pPr>
      <w:bookmarkStart w:id="44" w:name="_Toc220917023"/>
      <w:r>
        <w:rPr>
          <w:rFonts w:hint="eastAsia" w:ascii="黑体" w:hAnsi="黑体" w:eastAsia="黑体" w:cs="黑体"/>
          <w:b w:val="0"/>
          <w:bCs w:val="0"/>
          <w:color w:val="auto"/>
          <w:sz w:val="24"/>
          <w:szCs w:val="30"/>
          <w:highlight w:val="none"/>
          <w:lang w:val="en-US" w:eastAsia="zh-CN" w:bidi="ar-SA"/>
        </w:rPr>
        <w:t>项目质量保证</w:t>
      </w:r>
      <w:bookmarkEnd w:id="44"/>
    </w:p>
    <w:p w14:paraId="34A91D9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质量保证的内容</w:t>
      </w:r>
      <w:r>
        <w:rPr>
          <w:rFonts w:hint="eastAsia" w:ascii="仿宋_GB2312" w:hAnsi="Times New Roman" w:eastAsia="仿宋_GB2312" w:cs="Times New Roman"/>
          <w:b w:val="0"/>
          <w:bCs w:val="0"/>
          <w:color w:val="auto"/>
          <w:kern w:val="0"/>
          <w:sz w:val="24"/>
          <w:szCs w:val="20"/>
          <w:highlight w:val="none"/>
          <w:lang w:val="en-US" w:eastAsia="zh-CN"/>
        </w:rPr>
        <w:t>要求</w:t>
      </w:r>
      <w:r>
        <w:rPr>
          <w:rFonts w:hint="eastAsia" w:ascii="仿宋_GB2312" w:hAnsi="Times New Roman" w:eastAsia="仿宋_GB2312" w:cs="Times New Roman"/>
          <w:b w:val="0"/>
          <w:bCs w:val="0"/>
          <w:color w:val="auto"/>
          <w:kern w:val="0"/>
          <w:sz w:val="24"/>
          <w:szCs w:val="20"/>
          <w:highlight w:val="none"/>
        </w:rPr>
        <w:t>包括：</w:t>
      </w:r>
    </w:p>
    <w:p w14:paraId="435110FD">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质量保证活动的策划；</w:t>
      </w:r>
    </w:p>
    <w:p w14:paraId="06A1C02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质量保证活动的执行</w:t>
      </w:r>
    </w:p>
    <w:p w14:paraId="47CA89A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将要作为质量保证对象的评审活动和要评审的工作产品</w:t>
      </w:r>
    </w:p>
    <w:p w14:paraId="66E4734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确定评审和审计的方式</w:t>
      </w:r>
    </w:p>
    <w:p w14:paraId="2616B22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确定评审和审计所需资源</w:t>
      </w:r>
    </w:p>
    <w:p w14:paraId="0F76FB8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在此基础上，质量保证经理会根据项目情况、裁剪活动的结果、历史经验确定QA的工作重点。质量保证管理活动策划的结果，将被记载到质量保证计划中；并参考项目进度表编制质量保证进度表。</w:t>
      </w:r>
    </w:p>
    <w:p w14:paraId="46D7219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最后，质量保证计划和质量保证进度表将由客户、QAG人员和项目组三方共同评审。</w:t>
      </w:r>
    </w:p>
    <w:p w14:paraId="71B9D8D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质量保证活动的执行</w:t>
      </w:r>
    </w:p>
    <w:p w14:paraId="59258FB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lang w:val="en-US" w:eastAsia="zh-CN"/>
        </w:rPr>
        <w:t>要求</w:t>
      </w:r>
      <w:r>
        <w:rPr>
          <w:rFonts w:hint="eastAsia" w:ascii="仿宋_GB2312" w:hAnsi="Times New Roman" w:eastAsia="仿宋_GB2312" w:cs="Times New Roman"/>
          <w:b w:val="0"/>
          <w:bCs w:val="0"/>
          <w:color w:val="auto"/>
          <w:kern w:val="0"/>
          <w:sz w:val="24"/>
          <w:szCs w:val="20"/>
          <w:highlight w:val="none"/>
        </w:rPr>
        <w:t>质量保证经理会依据项目工程过程裁剪工作表来确定计划中质量保证活动所参考的过程、规程、标准、方法、指南、模板、表格等等。按照质量保证计划中确定的评审和审计方式来执行计划好的质量保证活活动执行过程中，质量保证经理详细记载评审、审计活动情况、和发现的不符合问题等等。在项目开发过程中，质量保证经理将对负责向开发人员提供质量保证方面的咨询支持。</w:t>
      </w:r>
    </w:p>
    <w:p w14:paraId="5751C45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不符合问题跟踪与解决</w:t>
      </w:r>
    </w:p>
    <w:p w14:paraId="61F424F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lang w:val="en-US" w:eastAsia="zh-CN"/>
        </w:rPr>
        <w:t>要求</w:t>
      </w:r>
      <w:r>
        <w:rPr>
          <w:rFonts w:hint="eastAsia" w:ascii="仿宋_GB2312" w:hAnsi="Times New Roman" w:eastAsia="仿宋_GB2312" w:cs="Times New Roman"/>
          <w:b w:val="0"/>
          <w:bCs w:val="0"/>
          <w:color w:val="auto"/>
          <w:kern w:val="0"/>
          <w:sz w:val="24"/>
          <w:szCs w:val="20"/>
          <w:highlight w:val="none"/>
        </w:rPr>
        <w:t>质量保证经理依据项目工程过程裁剪工作表来确定计划中质量保证活动所参考的过程、规程、标准、方法、指南、模板、表格等等。按照质量保证计划中确定的评审和审计方式来执行计划好的质量保证活动。在活动执行过程中，质量保证经理详细记载评审、审计活动情况、和发现的不符合问题等等。在项目开发过程中，质量保证经理将对负责向开发人员提供质量保证方面的咨询支持。</w:t>
      </w:r>
    </w:p>
    <w:p w14:paraId="063BC3E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要求项目质量保证经理将评审或检查出的不符合问题报告给相关开发人员，一起协商问题解决措施，并将记录协商结果和措施。与同开发人员一起协商之后也无法获得解决的问题将被提交给活动的上一级负责人，如果问题仍无法解决，以此类推，直到将问题提交给项目组、培训组、SEPG的负责人。重大问题将会同客户和QAG专家一起协商，确定问题解决措施。质量保证经理将跟踪不符合问题的解决情况，直至问题解决。</w:t>
      </w:r>
    </w:p>
    <w:p w14:paraId="24700E8A">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rPr>
      </w:pPr>
      <w:r>
        <w:rPr>
          <w:rFonts w:hint="eastAsia" w:ascii="仿宋_GB2312" w:hAnsi="Times New Roman" w:eastAsia="仿宋_GB2312" w:cs="Times New Roman"/>
          <w:b w:val="0"/>
          <w:bCs w:val="0"/>
          <w:color w:val="auto"/>
          <w:kern w:val="0"/>
          <w:sz w:val="24"/>
          <w:szCs w:val="20"/>
          <w:highlight w:val="none"/>
        </w:rPr>
        <w:t>质量保证工作汇报</w:t>
      </w:r>
    </w:p>
    <w:p w14:paraId="0F988A7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default" w:ascii="仿宋_GB2312" w:hAnsi="Times New Roman" w:eastAsia="仿宋_GB2312" w:cs="Times New Roman"/>
          <w:b w:val="0"/>
          <w:bCs w:val="0"/>
          <w:color w:val="auto"/>
          <w:kern w:val="0"/>
          <w:sz w:val="24"/>
          <w:szCs w:val="20"/>
          <w:highlight w:val="none"/>
          <w:lang w:val="en-US" w:eastAsia="zh-CN"/>
        </w:rPr>
      </w:pPr>
      <w:r>
        <w:rPr>
          <w:rFonts w:hint="eastAsia" w:ascii="仿宋_GB2312" w:hAnsi="Times New Roman" w:eastAsia="仿宋_GB2312" w:cs="Times New Roman"/>
          <w:b w:val="0"/>
          <w:bCs w:val="0"/>
          <w:color w:val="auto"/>
          <w:kern w:val="0"/>
          <w:sz w:val="24"/>
          <w:szCs w:val="20"/>
          <w:highlight w:val="none"/>
          <w:lang w:val="en-US" w:eastAsia="zh-CN"/>
        </w:rPr>
        <w:t>要求质量保证经理定期对不符合问题的数据进行统计分析，并记录解决措施，统计数据和措施，形成质量保证工作报告。质量保证经理定期向项目经理、部门领导、客户、以及QAG负责人汇报质量保证工作状况。</w:t>
      </w:r>
    </w:p>
    <w:p w14:paraId="4C016C42">
      <w:pPr>
        <w:keepNext/>
        <w:keepLines/>
        <w:widowControl w:val="0"/>
        <w:numPr>
          <w:ilvl w:val="3"/>
          <w:numId w:val="1"/>
        </w:numPr>
        <w:adjustRightInd w:val="0"/>
        <w:spacing w:before="0" w:after="0" w:line="360" w:lineRule="auto"/>
        <w:ind w:left="0" w:firstLine="0"/>
        <w:jc w:val="both"/>
        <w:textAlignment w:val="baseline"/>
        <w:outlineLvl w:val="3"/>
        <w:rPr>
          <w:rFonts w:hint="eastAsia" w:ascii="黑体" w:hAnsi="黑体" w:eastAsia="黑体" w:cs="黑体"/>
          <w:b w:val="0"/>
          <w:bCs w:val="0"/>
          <w:color w:val="auto"/>
          <w:sz w:val="24"/>
          <w:szCs w:val="30"/>
          <w:highlight w:val="none"/>
          <w:lang w:val="en-US" w:eastAsia="zh-CN" w:bidi="ar-SA"/>
        </w:rPr>
      </w:pPr>
      <w:bookmarkStart w:id="45" w:name="_Toc1221044135"/>
      <w:r>
        <w:rPr>
          <w:rFonts w:hint="eastAsia" w:ascii="黑体" w:hAnsi="黑体" w:eastAsia="黑体" w:cs="黑体"/>
          <w:b w:val="0"/>
          <w:bCs w:val="0"/>
          <w:color w:val="auto"/>
          <w:sz w:val="24"/>
          <w:szCs w:val="30"/>
          <w:highlight w:val="none"/>
          <w:lang w:val="en-US" w:eastAsia="zh-CN" w:bidi="ar-SA"/>
        </w:rPr>
        <w:t>验收测评</w:t>
      </w:r>
      <w:bookmarkEnd w:id="45"/>
    </w:p>
    <w:p w14:paraId="409DC03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1、验收前的准备：根据合同中的验收准则检查所以软件项目及其平台系统配置是否完整，做好验收准备及书面报告。</w:t>
      </w:r>
    </w:p>
    <w:p w14:paraId="751AD1B1">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2、根据合同要求或双方协商结果，确定验收时间、验收准则、软/硬件环境等，以及双方职责。安排售后服务部门与软件开发部协助用户进行验收；</w:t>
      </w:r>
    </w:p>
    <w:p w14:paraId="6CA3276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3、验收测试：系统验收前，按系统分析文档和系统设计文档所提供的测试方法和数据对各模块、子系统测试，测试结果双方主管人员认可，存档留做验收时参考。</w:t>
      </w:r>
    </w:p>
    <w:p w14:paraId="62CD5F3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4、编写验收报告:验收通过后，双方出具并签署系统验收报告，双方责任人签字。</w:t>
      </w:r>
    </w:p>
    <w:p w14:paraId="4BC0F92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验收要求标准</w:t>
      </w:r>
    </w:p>
    <w:p w14:paraId="15C9BFF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1、协助用户建立编译环境，在项目实施过程中，包括维护服务时期，软件提供商交付待安装的应用软件，必须在监理公司或系统管理人员的监督下，在用户指定的编译环境中进行编译测试后才能进行用户现场安装；</w:t>
      </w:r>
    </w:p>
    <w:p w14:paraId="23E2952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2、系统开发应严格按国家软件工程规范进行，根据开发进度及时提供相关文档，文档应有严格的版本控制策略，最终交付的文档必须是最新的，软件技术描述需包含但不局限以下文档：</w:t>
      </w:r>
    </w:p>
    <w:p w14:paraId="6FD1FF6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准备阶段：《软件开发计划》；</w:t>
      </w:r>
    </w:p>
    <w:p w14:paraId="0C2358FE">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需求分析阶段：《软件需求分析说明书》、《软件需求确认书》；</w:t>
      </w:r>
    </w:p>
    <w:p w14:paraId="60592F87">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设计阶段：《系统总体设计说明书》、《系统概要设计说明书》、《系统详细系设计说明书》、《数据库、数据字典设计说明书》；</w:t>
      </w:r>
    </w:p>
    <w:p w14:paraId="6F4D8524">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测试阶段：《测试计划》、《测试记录》、《测试报告》；</w:t>
      </w:r>
    </w:p>
    <w:p w14:paraId="66A6A41F">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上线阶段：《试运行/上线计划》、《试运行/上线报告》；</w:t>
      </w:r>
    </w:p>
    <w:p w14:paraId="7DD689E3">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过程文档：《培训计划》、《培训记录》、《例会记录》；</w:t>
      </w:r>
    </w:p>
    <w:p w14:paraId="1CE4D6A6">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交付使用：《用户手册》、《系统安装维护手册》、《接口详细设计说明书》、《数据字典》；</w:t>
      </w:r>
    </w:p>
    <w:p w14:paraId="1E9040A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其他文档：《售后服务规范》及按采购文件要求须提供的其它文档。</w:t>
      </w:r>
    </w:p>
    <w:p w14:paraId="660E2E58">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3、项目交付应在合同规定时间内，将采购范围内所界定的工作完成，并协助采购人制定相应管理规范，在通过双方认可验收后，交付给采购人，其中包括：符合项目目标和相应的技术要求、业务要求的完成的，可最终良好运行的医院信息系统，足以确保系统正常运行所需的管理、运营及维护有关的配套技术文件。</w:t>
      </w:r>
    </w:p>
    <w:p w14:paraId="603196B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4、项目总体验收时，出具软件评测、压力测试、安全试验报告，并委托的专业检测机构或监理公司、共同对系统进行验收。并提供《总体验收报告》。</w:t>
      </w:r>
    </w:p>
    <w:p w14:paraId="7463284B">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5、验收费用：为验收提供必需的一切条件及相关费用。</w:t>
      </w:r>
    </w:p>
    <w:p w14:paraId="69AC02DC">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验收结果</w:t>
      </w:r>
    </w:p>
    <w:p w14:paraId="6D0D8EE0">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验收：根据投标承诺及行业标准、国家标准验收。</w:t>
      </w:r>
    </w:p>
    <w:p w14:paraId="5BDEC535">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应用软件系统本地化工作完毕，系统集成调试结束，应由参建各方共同对整体系统进行验收，整体验收的结果由参加整体验收的各方签名，形成整体系统验收报告，附上整体系统试运行期间的有代表性的运行日志的记录，并且给出最终的明确结果。</w:t>
      </w:r>
    </w:p>
    <w:p w14:paraId="78731D0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1通过整体验收；</w:t>
      </w:r>
    </w:p>
    <w:p w14:paraId="4C9CB6A8">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2未通过整个验收，延迟再作验收。</w:t>
      </w:r>
    </w:p>
    <w:p w14:paraId="31D65409">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_GB2312" w:hAnsi="Times New Roman" w:eastAsia="仿宋_GB2312" w:cs="Times New Roman"/>
          <w:b w:val="0"/>
          <w:bCs w:val="0"/>
          <w:color w:val="auto"/>
          <w:kern w:val="0"/>
          <w:sz w:val="24"/>
          <w:szCs w:val="20"/>
          <w:highlight w:val="none"/>
          <w:lang w:val="en-GB"/>
        </w:rPr>
      </w:pPr>
      <w:r>
        <w:rPr>
          <w:rFonts w:hint="eastAsia" w:ascii="仿宋_GB2312" w:hAnsi="Times New Roman" w:eastAsia="仿宋_GB2312" w:cs="Times New Roman"/>
          <w:b w:val="0"/>
          <w:bCs w:val="0"/>
          <w:color w:val="auto"/>
          <w:kern w:val="0"/>
          <w:sz w:val="24"/>
          <w:szCs w:val="20"/>
          <w:highlight w:val="none"/>
          <w:lang w:val="en-GB"/>
        </w:rPr>
        <w:t>问题处理</w:t>
      </w:r>
    </w:p>
    <w:p w14:paraId="159B6612">
      <w:pPr>
        <w:keepNext w:val="0"/>
        <w:keepLines w:val="0"/>
        <w:pageBreakBefore w:val="0"/>
        <w:widowControl w:val="0"/>
        <w:kinsoku/>
        <w:wordWrap/>
        <w:overflowPunct/>
        <w:topLinePunct w:val="0"/>
        <w:autoSpaceDE/>
        <w:autoSpaceDN/>
        <w:bidi w:val="0"/>
        <w:adjustRightInd w:val="0"/>
        <w:snapToGrid/>
        <w:spacing w:before="0" w:after="0" w:line="400" w:lineRule="exact"/>
        <w:ind w:firstLine="480" w:firstLineChars="200"/>
        <w:jc w:val="both"/>
        <w:textAlignment w:val="baseline"/>
        <w:rPr>
          <w:rFonts w:hint="eastAsia" w:ascii="仿宋" w:hAnsi="仿宋" w:eastAsia="仿宋" w:cs="仿宋"/>
          <w:color w:val="auto"/>
          <w:sz w:val="30"/>
          <w:szCs w:val="30"/>
          <w:lang w:val="en-US" w:eastAsia="zh-CN"/>
        </w:rPr>
      </w:pPr>
      <w:r>
        <w:rPr>
          <w:rFonts w:hint="eastAsia" w:ascii="仿宋_GB2312" w:hAnsi="Times New Roman" w:eastAsia="仿宋_GB2312" w:cs="Times New Roman"/>
          <w:b w:val="0"/>
          <w:bCs w:val="0"/>
          <w:color w:val="auto"/>
          <w:kern w:val="0"/>
          <w:sz w:val="24"/>
          <w:szCs w:val="20"/>
          <w:highlight w:val="none"/>
          <w:lang w:val="en-GB"/>
        </w:rPr>
        <w:t>在验收（测试）过程中发现的问题根据合同规定来处理。如果合同中没有规定，指明问题类型和责任归属，由客户服务部门或软件开发部与用户方协商解决办法。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EEDF07"/>
    <w:multiLevelType w:val="multilevel"/>
    <w:tmpl w:val="C9EEDF07"/>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1093" w:hanging="575"/>
      </w:pPr>
      <w:rPr>
        <w:rFonts w:hint="eastAsia"/>
      </w:rPr>
    </w:lvl>
    <w:lvl w:ilvl="2" w:tentative="0">
      <w:start w:val="1"/>
      <w:numFmt w:val="decimal"/>
      <w:isLgl/>
      <w:lvlText w:val="%1.%2.%3."/>
      <w:lvlJc w:val="left"/>
      <w:pPr>
        <w:ind w:left="720" w:hanging="720"/>
      </w:pPr>
      <w:rPr>
        <w:rFonts w:hint="eastAsia"/>
      </w:rPr>
    </w:lvl>
    <w:lvl w:ilvl="3" w:tentative="0">
      <w:start w:val="1"/>
      <w:numFmt w:val="decimal"/>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2D65AF"/>
    <w:rsid w:val="00512DE9"/>
    <w:rsid w:val="00B5799B"/>
    <w:rsid w:val="012F7DE1"/>
    <w:rsid w:val="013E5700"/>
    <w:rsid w:val="01541D17"/>
    <w:rsid w:val="01785263"/>
    <w:rsid w:val="01827B05"/>
    <w:rsid w:val="019B48C5"/>
    <w:rsid w:val="01AC5FEB"/>
    <w:rsid w:val="01B53908"/>
    <w:rsid w:val="01F42F67"/>
    <w:rsid w:val="02206AE2"/>
    <w:rsid w:val="022B4605"/>
    <w:rsid w:val="024C1B40"/>
    <w:rsid w:val="02AC7D62"/>
    <w:rsid w:val="02B158EA"/>
    <w:rsid w:val="02C14E83"/>
    <w:rsid w:val="02EA7900"/>
    <w:rsid w:val="03235A39"/>
    <w:rsid w:val="032C133D"/>
    <w:rsid w:val="033E2D88"/>
    <w:rsid w:val="03485486"/>
    <w:rsid w:val="03CD5457"/>
    <w:rsid w:val="04037211"/>
    <w:rsid w:val="040A7DF2"/>
    <w:rsid w:val="040C7565"/>
    <w:rsid w:val="045708D9"/>
    <w:rsid w:val="0463391B"/>
    <w:rsid w:val="046F0741"/>
    <w:rsid w:val="04C11A36"/>
    <w:rsid w:val="04D15D9A"/>
    <w:rsid w:val="04DE3293"/>
    <w:rsid w:val="04E4451A"/>
    <w:rsid w:val="055832C2"/>
    <w:rsid w:val="056644E2"/>
    <w:rsid w:val="056D7469"/>
    <w:rsid w:val="05CF722C"/>
    <w:rsid w:val="063638D5"/>
    <w:rsid w:val="06434A86"/>
    <w:rsid w:val="069D1305"/>
    <w:rsid w:val="06C03964"/>
    <w:rsid w:val="06D37392"/>
    <w:rsid w:val="071F0524"/>
    <w:rsid w:val="0742596A"/>
    <w:rsid w:val="07444681"/>
    <w:rsid w:val="077225CA"/>
    <w:rsid w:val="079D4DA6"/>
    <w:rsid w:val="07A10BE5"/>
    <w:rsid w:val="08432A0D"/>
    <w:rsid w:val="084E011A"/>
    <w:rsid w:val="086974C3"/>
    <w:rsid w:val="08DF4353"/>
    <w:rsid w:val="08E14C87"/>
    <w:rsid w:val="090871DD"/>
    <w:rsid w:val="09595ECA"/>
    <w:rsid w:val="09663E3C"/>
    <w:rsid w:val="099101AF"/>
    <w:rsid w:val="09D111E8"/>
    <w:rsid w:val="09E473A1"/>
    <w:rsid w:val="0A0C6D22"/>
    <w:rsid w:val="0A292817"/>
    <w:rsid w:val="0A4E7B18"/>
    <w:rsid w:val="0A6B5BB6"/>
    <w:rsid w:val="0AA055B6"/>
    <w:rsid w:val="0AE90EA7"/>
    <w:rsid w:val="0B2A40AA"/>
    <w:rsid w:val="0C390837"/>
    <w:rsid w:val="0C5302F4"/>
    <w:rsid w:val="0C570C2B"/>
    <w:rsid w:val="0CC13D66"/>
    <w:rsid w:val="0CCA2F6A"/>
    <w:rsid w:val="0CFB1A47"/>
    <w:rsid w:val="0D4C2519"/>
    <w:rsid w:val="0D7707C6"/>
    <w:rsid w:val="0E2F4844"/>
    <w:rsid w:val="0E4C3D34"/>
    <w:rsid w:val="0E592072"/>
    <w:rsid w:val="0E797F75"/>
    <w:rsid w:val="0E7C7BB2"/>
    <w:rsid w:val="0E8A5728"/>
    <w:rsid w:val="0E8E06A4"/>
    <w:rsid w:val="0EA939FE"/>
    <w:rsid w:val="0F7E7F49"/>
    <w:rsid w:val="0F964E2D"/>
    <w:rsid w:val="0FA11337"/>
    <w:rsid w:val="0FA8244B"/>
    <w:rsid w:val="109D2527"/>
    <w:rsid w:val="10E82B0C"/>
    <w:rsid w:val="110F2986"/>
    <w:rsid w:val="11244503"/>
    <w:rsid w:val="114B70AC"/>
    <w:rsid w:val="11746B8F"/>
    <w:rsid w:val="1175647D"/>
    <w:rsid w:val="118639DF"/>
    <w:rsid w:val="11D509CC"/>
    <w:rsid w:val="12003316"/>
    <w:rsid w:val="121B11D9"/>
    <w:rsid w:val="121B27CB"/>
    <w:rsid w:val="128B40C6"/>
    <w:rsid w:val="12BB4433"/>
    <w:rsid w:val="12DF0AE9"/>
    <w:rsid w:val="12F82AC0"/>
    <w:rsid w:val="136B646C"/>
    <w:rsid w:val="137B6ECE"/>
    <w:rsid w:val="13945ABB"/>
    <w:rsid w:val="139D5E96"/>
    <w:rsid w:val="14066EFD"/>
    <w:rsid w:val="14206D86"/>
    <w:rsid w:val="14587283"/>
    <w:rsid w:val="147D7033"/>
    <w:rsid w:val="149E223A"/>
    <w:rsid w:val="14ED0ADE"/>
    <w:rsid w:val="14F475EE"/>
    <w:rsid w:val="15233EE6"/>
    <w:rsid w:val="155E22FB"/>
    <w:rsid w:val="15914DB1"/>
    <w:rsid w:val="16596404"/>
    <w:rsid w:val="167D7A8F"/>
    <w:rsid w:val="168955AF"/>
    <w:rsid w:val="1693042B"/>
    <w:rsid w:val="16CA2879"/>
    <w:rsid w:val="16D16C30"/>
    <w:rsid w:val="17753005"/>
    <w:rsid w:val="17957DA8"/>
    <w:rsid w:val="17960B7E"/>
    <w:rsid w:val="17BA3E84"/>
    <w:rsid w:val="17C26642"/>
    <w:rsid w:val="17F821F4"/>
    <w:rsid w:val="17FD2454"/>
    <w:rsid w:val="18245AE9"/>
    <w:rsid w:val="18545297"/>
    <w:rsid w:val="187116BD"/>
    <w:rsid w:val="18AC735C"/>
    <w:rsid w:val="18BA2C90"/>
    <w:rsid w:val="18CC539E"/>
    <w:rsid w:val="18E44809"/>
    <w:rsid w:val="191D5ECC"/>
    <w:rsid w:val="19474D4E"/>
    <w:rsid w:val="197044A2"/>
    <w:rsid w:val="19722D8C"/>
    <w:rsid w:val="199040A3"/>
    <w:rsid w:val="19D460B4"/>
    <w:rsid w:val="1A002339"/>
    <w:rsid w:val="1A080791"/>
    <w:rsid w:val="1A0C11E1"/>
    <w:rsid w:val="1A190E4F"/>
    <w:rsid w:val="1AE31FB1"/>
    <w:rsid w:val="1B0625D4"/>
    <w:rsid w:val="1B130C44"/>
    <w:rsid w:val="1B21695F"/>
    <w:rsid w:val="1B6B40AB"/>
    <w:rsid w:val="1B8442B5"/>
    <w:rsid w:val="1BA83EB0"/>
    <w:rsid w:val="1C5E627B"/>
    <w:rsid w:val="1C6F57FD"/>
    <w:rsid w:val="1C9D090A"/>
    <w:rsid w:val="1CBC1AAE"/>
    <w:rsid w:val="1CF82209"/>
    <w:rsid w:val="1D1E5FDF"/>
    <w:rsid w:val="1D3C46AD"/>
    <w:rsid w:val="1D751FA9"/>
    <w:rsid w:val="1D78357F"/>
    <w:rsid w:val="1DDA67DC"/>
    <w:rsid w:val="1E2C3641"/>
    <w:rsid w:val="1E3D186A"/>
    <w:rsid w:val="1EAB6087"/>
    <w:rsid w:val="1EB25668"/>
    <w:rsid w:val="1EEF20C7"/>
    <w:rsid w:val="1EF60DFF"/>
    <w:rsid w:val="1F212E08"/>
    <w:rsid w:val="1F2D134C"/>
    <w:rsid w:val="1F781A22"/>
    <w:rsid w:val="1FD53E7A"/>
    <w:rsid w:val="1FF6372E"/>
    <w:rsid w:val="2005377F"/>
    <w:rsid w:val="208A0A9B"/>
    <w:rsid w:val="20BC3D33"/>
    <w:rsid w:val="20F800D5"/>
    <w:rsid w:val="213C2711"/>
    <w:rsid w:val="2165654C"/>
    <w:rsid w:val="216C4E6B"/>
    <w:rsid w:val="217E2916"/>
    <w:rsid w:val="218C548D"/>
    <w:rsid w:val="21BA2713"/>
    <w:rsid w:val="221F326A"/>
    <w:rsid w:val="223B6FE9"/>
    <w:rsid w:val="225C4DA5"/>
    <w:rsid w:val="228A2760"/>
    <w:rsid w:val="229E75EF"/>
    <w:rsid w:val="22A7428F"/>
    <w:rsid w:val="22D75B77"/>
    <w:rsid w:val="23001437"/>
    <w:rsid w:val="23015546"/>
    <w:rsid w:val="230C78EB"/>
    <w:rsid w:val="23504699"/>
    <w:rsid w:val="2383244E"/>
    <w:rsid w:val="238F59DD"/>
    <w:rsid w:val="239E26A0"/>
    <w:rsid w:val="23A253A6"/>
    <w:rsid w:val="23EF0E7B"/>
    <w:rsid w:val="245662BB"/>
    <w:rsid w:val="248A28F6"/>
    <w:rsid w:val="24C146D8"/>
    <w:rsid w:val="24E40A0A"/>
    <w:rsid w:val="25161614"/>
    <w:rsid w:val="252637A6"/>
    <w:rsid w:val="25B11487"/>
    <w:rsid w:val="26012649"/>
    <w:rsid w:val="264A116E"/>
    <w:rsid w:val="26AA7D30"/>
    <w:rsid w:val="26B93370"/>
    <w:rsid w:val="27241968"/>
    <w:rsid w:val="27B802CA"/>
    <w:rsid w:val="27CF0FFB"/>
    <w:rsid w:val="28036ACF"/>
    <w:rsid w:val="28AE6DFB"/>
    <w:rsid w:val="28B614B2"/>
    <w:rsid w:val="28B826DC"/>
    <w:rsid w:val="28D85DDC"/>
    <w:rsid w:val="290F4949"/>
    <w:rsid w:val="293474BA"/>
    <w:rsid w:val="293E2F0E"/>
    <w:rsid w:val="2946003F"/>
    <w:rsid w:val="294A30C6"/>
    <w:rsid w:val="29D0222B"/>
    <w:rsid w:val="2A263816"/>
    <w:rsid w:val="2A4F0E02"/>
    <w:rsid w:val="2AD7341A"/>
    <w:rsid w:val="2B272C95"/>
    <w:rsid w:val="2BC17D2B"/>
    <w:rsid w:val="2C604F2B"/>
    <w:rsid w:val="2CDB7DA6"/>
    <w:rsid w:val="2CE92768"/>
    <w:rsid w:val="2CEE7DB6"/>
    <w:rsid w:val="2D1F1BCC"/>
    <w:rsid w:val="2D2343A9"/>
    <w:rsid w:val="2D240BA9"/>
    <w:rsid w:val="2D27431C"/>
    <w:rsid w:val="2D6A36E0"/>
    <w:rsid w:val="2D6E4FFB"/>
    <w:rsid w:val="2D8E208D"/>
    <w:rsid w:val="2DA51601"/>
    <w:rsid w:val="2DB12307"/>
    <w:rsid w:val="2DBB49EA"/>
    <w:rsid w:val="2DE673BE"/>
    <w:rsid w:val="2E283B7B"/>
    <w:rsid w:val="2E3A0661"/>
    <w:rsid w:val="2E4D29AE"/>
    <w:rsid w:val="2E5A4579"/>
    <w:rsid w:val="2E9F58E9"/>
    <w:rsid w:val="2EC73F42"/>
    <w:rsid w:val="2ED40AAC"/>
    <w:rsid w:val="2EEA1F07"/>
    <w:rsid w:val="2F1C0D82"/>
    <w:rsid w:val="2F4515AA"/>
    <w:rsid w:val="2F5B66B4"/>
    <w:rsid w:val="2F5F0B5C"/>
    <w:rsid w:val="2F7B4274"/>
    <w:rsid w:val="2FC62934"/>
    <w:rsid w:val="2FD27F70"/>
    <w:rsid w:val="2FFC2BF5"/>
    <w:rsid w:val="30145862"/>
    <w:rsid w:val="30154DE3"/>
    <w:rsid w:val="302B5A8B"/>
    <w:rsid w:val="306A1320"/>
    <w:rsid w:val="306C17B7"/>
    <w:rsid w:val="30AC13B1"/>
    <w:rsid w:val="30CB71E3"/>
    <w:rsid w:val="311970FE"/>
    <w:rsid w:val="3151431B"/>
    <w:rsid w:val="315B53AC"/>
    <w:rsid w:val="31754F0B"/>
    <w:rsid w:val="3189247B"/>
    <w:rsid w:val="31980F37"/>
    <w:rsid w:val="31AE5A3D"/>
    <w:rsid w:val="31C87066"/>
    <w:rsid w:val="31F576F8"/>
    <w:rsid w:val="321C7AE4"/>
    <w:rsid w:val="324E0271"/>
    <w:rsid w:val="32761E99"/>
    <w:rsid w:val="32771C24"/>
    <w:rsid w:val="32A16A92"/>
    <w:rsid w:val="334D7485"/>
    <w:rsid w:val="33C36F0C"/>
    <w:rsid w:val="33EF1C29"/>
    <w:rsid w:val="340E3431"/>
    <w:rsid w:val="34552180"/>
    <w:rsid w:val="34853266"/>
    <w:rsid w:val="34B123C1"/>
    <w:rsid w:val="35C6234F"/>
    <w:rsid w:val="35D56324"/>
    <w:rsid w:val="36143CE4"/>
    <w:rsid w:val="36C6178B"/>
    <w:rsid w:val="37693013"/>
    <w:rsid w:val="377128BE"/>
    <w:rsid w:val="3772229F"/>
    <w:rsid w:val="37746E12"/>
    <w:rsid w:val="37873733"/>
    <w:rsid w:val="37B07ED0"/>
    <w:rsid w:val="37F97C0B"/>
    <w:rsid w:val="38042FDA"/>
    <w:rsid w:val="385E714D"/>
    <w:rsid w:val="38890D17"/>
    <w:rsid w:val="390F6008"/>
    <w:rsid w:val="392D3EB8"/>
    <w:rsid w:val="3987354A"/>
    <w:rsid w:val="39A11954"/>
    <w:rsid w:val="39A610D4"/>
    <w:rsid w:val="39AB799B"/>
    <w:rsid w:val="39D168F7"/>
    <w:rsid w:val="3A197D7F"/>
    <w:rsid w:val="3A511CDA"/>
    <w:rsid w:val="3A6C6E5B"/>
    <w:rsid w:val="3B462F7D"/>
    <w:rsid w:val="3BBE2C0F"/>
    <w:rsid w:val="3BD75A30"/>
    <w:rsid w:val="3BEF776A"/>
    <w:rsid w:val="3BFC3887"/>
    <w:rsid w:val="3C551654"/>
    <w:rsid w:val="3C926197"/>
    <w:rsid w:val="3CA1533A"/>
    <w:rsid w:val="3CE569F7"/>
    <w:rsid w:val="3D0B2670"/>
    <w:rsid w:val="3D3362FB"/>
    <w:rsid w:val="3DEE1E0B"/>
    <w:rsid w:val="3E2E4D16"/>
    <w:rsid w:val="3E874CCE"/>
    <w:rsid w:val="3EA97ECF"/>
    <w:rsid w:val="3EEB7D9D"/>
    <w:rsid w:val="3EFE6521"/>
    <w:rsid w:val="3F274AED"/>
    <w:rsid w:val="3F347F84"/>
    <w:rsid w:val="3F4369F6"/>
    <w:rsid w:val="3FFD6357"/>
    <w:rsid w:val="40087E78"/>
    <w:rsid w:val="403E3299"/>
    <w:rsid w:val="404E37B4"/>
    <w:rsid w:val="40516C81"/>
    <w:rsid w:val="405817B9"/>
    <w:rsid w:val="406C6A1A"/>
    <w:rsid w:val="408676AE"/>
    <w:rsid w:val="409D41F2"/>
    <w:rsid w:val="410F3F73"/>
    <w:rsid w:val="412C63C7"/>
    <w:rsid w:val="41483B89"/>
    <w:rsid w:val="418B2A1D"/>
    <w:rsid w:val="41D4668F"/>
    <w:rsid w:val="41FF04E9"/>
    <w:rsid w:val="42151810"/>
    <w:rsid w:val="421F0A10"/>
    <w:rsid w:val="42C84E53"/>
    <w:rsid w:val="42D76D82"/>
    <w:rsid w:val="43825973"/>
    <w:rsid w:val="43E6401F"/>
    <w:rsid w:val="43FF5A30"/>
    <w:rsid w:val="44155AD8"/>
    <w:rsid w:val="44626B62"/>
    <w:rsid w:val="44727C6D"/>
    <w:rsid w:val="44785779"/>
    <w:rsid w:val="447D13C5"/>
    <w:rsid w:val="4480643D"/>
    <w:rsid w:val="44B46A6A"/>
    <w:rsid w:val="44E61B26"/>
    <w:rsid w:val="453B0E48"/>
    <w:rsid w:val="454337E3"/>
    <w:rsid w:val="456E0D01"/>
    <w:rsid w:val="45CB494D"/>
    <w:rsid w:val="45E23A54"/>
    <w:rsid w:val="4607074C"/>
    <w:rsid w:val="461752BF"/>
    <w:rsid w:val="4646797C"/>
    <w:rsid w:val="46902F98"/>
    <w:rsid w:val="46B86B26"/>
    <w:rsid w:val="46ED78E8"/>
    <w:rsid w:val="46F3769A"/>
    <w:rsid w:val="470D4579"/>
    <w:rsid w:val="47420542"/>
    <w:rsid w:val="474A35E4"/>
    <w:rsid w:val="476C38B9"/>
    <w:rsid w:val="47CF529C"/>
    <w:rsid w:val="48584C57"/>
    <w:rsid w:val="488A3050"/>
    <w:rsid w:val="48A245EC"/>
    <w:rsid w:val="48D12A65"/>
    <w:rsid w:val="48F6151A"/>
    <w:rsid w:val="492F4766"/>
    <w:rsid w:val="49391842"/>
    <w:rsid w:val="494422DC"/>
    <w:rsid w:val="49522968"/>
    <w:rsid w:val="49566891"/>
    <w:rsid w:val="495C73E6"/>
    <w:rsid w:val="49A106EA"/>
    <w:rsid w:val="49A26CBD"/>
    <w:rsid w:val="49F222FC"/>
    <w:rsid w:val="4A265437"/>
    <w:rsid w:val="4B337CB8"/>
    <w:rsid w:val="4B466C38"/>
    <w:rsid w:val="4BB06B11"/>
    <w:rsid w:val="4BE16314"/>
    <w:rsid w:val="4BF9042F"/>
    <w:rsid w:val="4C4A0F37"/>
    <w:rsid w:val="4C550BA4"/>
    <w:rsid w:val="4C62555B"/>
    <w:rsid w:val="4C8F282E"/>
    <w:rsid w:val="4C9441C9"/>
    <w:rsid w:val="4CE60267"/>
    <w:rsid w:val="4D887E61"/>
    <w:rsid w:val="4DA007FD"/>
    <w:rsid w:val="4E0046B1"/>
    <w:rsid w:val="4E33417E"/>
    <w:rsid w:val="4E4C39A2"/>
    <w:rsid w:val="4E717F64"/>
    <w:rsid w:val="4E953D32"/>
    <w:rsid w:val="4E9D0B13"/>
    <w:rsid w:val="4EA17C8F"/>
    <w:rsid w:val="4EF546B0"/>
    <w:rsid w:val="4F203137"/>
    <w:rsid w:val="4F4673A6"/>
    <w:rsid w:val="4F5A2AC2"/>
    <w:rsid w:val="4F6D7278"/>
    <w:rsid w:val="4F74239C"/>
    <w:rsid w:val="4FA70DF8"/>
    <w:rsid w:val="4FAB197B"/>
    <w:rsid w:val="4FAD1221"/>
    <w:rsid w:val="4FB220A9"/>
    <w:rsid w:val="50720765"/>
    <w:rsid w:val="509113EA"/>
    <w:rsid w:val="50C23D07"/>
    <w:rsid w:val="50E322CB"/>
    <w:rsid w:val="50F33964"/>
    <w:rsid w:val="51117935"/>
    <w:rsid w:val="511759E9"/>
    <w:rsid w:val="512F75FB"/>
    <w:rsid w:val="51450682"/>
    <w:rsid w:val="514B1390"/>
    <w:rsid w:val="51844B18"/>
    <w:rsid w:val="518C56F4"/>
    <w:rsid w:val="51F25DF4"/>
    <w:rsid w:val="52875729"/>
    <w:rsid w:val="52C35402"/>
    <w:rsid w:val="52DD6B63"/>
    <w:rsid w:val="5308373B"/>
    <w:rsid w:val="53767527"/>
    <w:rsid w:val="53A36F15"/>
    <w:rsid w:val="53AF16C0"/>
    <w:rsid w:val="53E04AF2"/>
    <w:rsid w:val="53E7163F"/>
    <w:rsid w:val="54552853"/>
    <w:rsid w:val="54A04C77"/>
    <w:rsid w:val="54A54ECD"/>
    <w:rsid w:val="55031FEC"/>
    <w:rsid w:val="552C6D9A"/>
    <w:rsid w:val="558230DC"/>
    <w:rsid w:val="55B75A60"/>
    <w:rsid w:val="55C96B24"/>
    <w:rsid w:val="55EE0423"/>
    <w:rsid w:val="56030A43"/>
    <w:rsid w:val="56710790"/>
    <w:rsid w:val="56790470"/>
    <w:rsid w:val="56AB0E9C"/>
    <w:rsid w:val="56BB43CF"/>
    <w:rsid w:val="56FA4F4B"/>
    <w:rsid w:val="575A6F19"/>
    <w:rsid w:val="577011B2"/>
    <w:rsid w:val="57C9281A"/>
    <w:rsid w:val="57CF7E5D"/>
    <w:rsid w:val="58491474"/>
    <w:rsid w:val="58892D72"/>
    <w:rsid w:val="58E81C59"/>
    <w:rsid w:val="592453D5"/>
    <w:rsid w:val="59276050"/>
    <w:rsid w:val="592A19D6"/>
    <w:rsid w:val="593F2812"/>
    <w:rsid w:val="5944151D"/>
    <w:rsid w:val="59A66834"/>
    <w:rsid w:val="59C031B1"/>
    <w:rsid w:val="59D37708"/>
    <w:rsid w:val="59D75F0E"/>
    <w:rsid w:val="59DF4FF3"/>
    <w:rsid w:val="5A090D34"/>
    <w:rsid w:val="5A9D77F4"/>
    <w:rsid w:val="5B95075F"/>
    <w:rsid w:val="5C0C5616"/>
    <w:rsid w:val="5C0F05A5"/>
    <w:rsid w:val="5C1579F2"/>
    <w:rsid w:val="5C3D0FC7"/>
    <w:rsid w:val="5C6D45A2"/>
    <w:rsid w:val="5C9623DA"/>
    <w:rsid w:val="5CCA5C0F"/>
    <w:rsid w:val="5CCE776C"/>
    <w:rsid w:val="5CE11B1C"/>
    <w:rsid w:val="5CF728BA"/>
    <w:rsid w:val="5D18645D"/>
    <w:rsid w:val="5D4444EA"/>
    <w:rsid w:val="5D567FC1"/>
    <w:rsid w:val="5D763C2B"/>
    <w:rsid w:val="5DCC5B7E"/>
    <w:rsid w:val="5E232C69"/>
    <w:rsid w:val="5E331B38"/>
    <w:rsid w:val="5E410202"/>
    <w:rsid w:val="5E513308"/>
    <w:rsid w:val="5E812C48"/>
    <w:rsid w:val="5ED86C15"/>
    <w:rsid w:val="5F046420"/>
    <w:rsid w:val="5F074E69"/>
    <w:rsid w:val="5F8471B5"/>
    <w:rsid w:val="5FD104B8"/>
    <w:rsid w:val="5FD3337E"/>
    <w:rsid w:val="5FED1580"/>
    <w:rsid w:val="604A1598"/>
    <w:rsid w:val="60C67EEB"/>
    <w:rsid w:val="60E46C65"/>
    <w:rsid w:val="61445A28"/>
    <w:rsid w:val="616B58BF"/>
    <w:rsid w:val="61A87044"/>
    <w:rsid w:val="61AC68F4"/>
    <w:rsid w:val="61B475D6"/>
    <w:rsid w:val="61D56F33"/>
    <w:rsid w:val="62352159"/>
    <w:rsid w:val="62372EFA"/>
    <w:rsid w:val="62725BF1"/>
    <w:rsid w:val="627C49A3"/>
    <w:rsid w:val="630E06E5"/>
    <w:rsid w:val="630F64A3"/>
    <w:rsid w:val="63106316"/>
    <w:rsid w:val="631621CC"/>
    <w:rsid w:val="63320E6B"/>
    <w:rsid w:val="63333045"/>
    <w:rsid w:val="63844C33"/>
    <w:rsid w:val="63AB4468"/>
    <w:rsid w:val="63AD3B3D"/>
    <w:rsid w:val="63D55F14"/>
    <w:rsid w:val="64697692"/>
    <w:rsid w:val="64DE3672"/>
    <w:rsid w:val="64FD633E"/>
    <w:rsid w:val="65025B9A"/>
    <w:rsid w:val="6538409A"/>
    <w:rsid w:val="656C1AFF"/>
    <w:rsid w:val="657C6132"/>
    <w:rsid w:val="65897BAE"/>
    <w:rsid w:val="660842DD"/>
    <w:rsid w:val="66150632"/>
    <w:rsid w:val="662C7FCC"/>
    <w:rsid w:val="663637CC"/>
    <w:rsid w:val="668B7A81"/>
    <w:rsid w:val="6695034D"/>
    <w:rsid w:val="66C40B4B"/>
    <w:rsid w:val="66E97576"/>
    <w:rsid w:val="673D1D8D"/>
    <w:rsid w:val="67440727"/>
    <w:rsid w:val="67E96AE4"/>
    <w:rsid w:val="6815752B"/>
    <w:rsid w:val="683B1B60"/>
    <w:rsid w:val="68502604"/>
    <w:rsid w:val="686422A5"/>
    <w:rsid w:val="68956D8C"/>
    <w:rsid w:val="689764D7"/>
    <w:rsid w:val="68F6059A"/>
    <w:rsid w:val="690D7014"/>
    <w:rsid w:val="69601055"/>
    <w:rsid w:val="69766AF5"/>
    <w:rsid w:val="69E82B48"/>
    <w:rsid w:val="69F626CC"/>
    <w:rsid w:val="6A061712"/>
    <w:rsid w:val="6A486A96"/>
    <w:rsid w:val="6A59721F"/>
    <w:rsid w:val="6A6460E9"/>
    <w:rsid w:val="6B0337C7"/>
    <w:rsid w:val="6B077384"/>
    <w:rsid w:val="6BF50D8B"/>
    <w:rsid w:val="6C463022"/>
    <w:rsid w:val="6C9D63C1"/>
    <w:rsid w:val="6CC817A0"/>
    <w:rsid w:val="6CEA7F79"/>
    <w:rsid w:val="6D01489D"/>
    <w:rsid w:val="6D096C20"/>
    <w:rsid w:val="6D0D7A14"/>
    <w:rsid w:val="6D2B6EF7"/>
    <w:rsid w:val="6D4529B1"/>
    <w:rsid w:val="6D4B19CF"/>
    <w:rsid w:val="6D653AB8"/>
    <w:rsid w:val="6D7B63AC"/>
    <w:rsid w:val="6DDA1251"/>
    <w:rsid w:val="6E463F4C"/>
    <w:rsid w:val="6E5A48E2"/>
    <w:rsid w:val="6E6115DE"/>
    <w:rsid w:val="6EB52EA8"/>
    <w:rsid w:val="6ED2422B"/>
    <w:rsid w:val="6EF04113"/>
    <w:rsid w:val="6F102552"/>
    <w:rsid w:val="6F3C3412"/>
    <w:rsid w:val="6F4D23F8"/>
    <w:rsid w:val="6FC0311F"/>
    <w:rsid w:val="6FED06B4"/>
    <w:rsid w:val="70ED44DB"/>
    <w:rsid w:val="714158BE"/>
    <w:rsid w:val="714F18E2"/>
    <w:rsid w:val="71541A85"/>
    <w:rsid w:val="71663B97"/>
    <w:rsid w:val="71BE0C1D"/>
    <w:rsid w:val="71E909AC"/>
    <w:rsid w:val="72007721"/>
    <w:rsid w:val="720C3417"/>
    <w:rsid w:val="721C13D0"/>
    <w:rsid w:val="72814112"/>
    <w:rsid w:val="72E375D6"/>
    <w:rsid w:val="731B6082"/>
    <w:rsid w:val="731D7A00"/>
    <w:rsid w:val="732D0091"/>
    <w:rsid w:val="73417B9C"/>
    <w:rsid w:val="73427011"/>
    <w:rsid w:val="73477161"/>
    <w:rsid w:val="734F35BC"/>
    <w:rsid w:val="736D7FD9"/>
    <w:rsid w:val="73A02DF3"/>
    <w:rsid w:val="73CD7126"/>
    <w:rsid w:val="73DA0835"/>
    <w:rsid w:val="73DA778B"/>
    <w:rsid w:val="73F378FF"/>
    <w:rsid w:val="74013580"/>
    <w:rsid w:val="742C766F"/>
    <w:rsid w:val="743C62A4"/>
    <w:rsid w:val="74530D0B"/>
    <w:rsid w:val="74DA1C30"/>
    <w:rsid w:val="75166F20"/>
    <w:rsid w:val="75A70E5A"/>
    <w:rsid w:val="75BB12D3"/>
    <w:rsid w:val="761B517A"/>
    <w:rsid w:val="76602DE1"/>
    <w:rsid w:val="76D12EB6"/>
    <w:rsid w:val="77982BC5"/>
    <w:rsid w:val="77990A02"/>
    <w:rsid w:val="779B1E43"/>
    <w:rsid w:val="77B11F77"/>
    <w:rsid w:val="77B97445"/>
    <w:rsid w:val="77BF43C8"/>
    <w:rsid w:val="77EF3241"/>
    <w:rsid w:val="77FF688D"/>
    <w:rsid w:val="78AD331A"/>
    <w:rsid w:val="78BD241A"/>
    <w:rsid w:val="78D50611"/>
    <w:rsid w:val="79253322"/>
    <w:rsid w:val="793A02D9"/>
    <w:rsid w:val="797224F0"/>
    <w:rsid w:val="7A643364"/>
    <w:rsid w:val="7A653C25"/>
    <w:rsid w:val="7A657BD9"/>
    <w:rsid w:val="7BA152BD"/>
    <w:rsid w:val="7BC870E9"/>
    <w:rsid w:val="7C156519"/>
    <w:rsid w:val="7C1A1CA6"/>
    <w:rsid w:val="7C7B38F9"/>
    <w:rsid w:val="7CC76516"/>
    <w:rsid w:val="7CCB608A"/>
    <w:rsid w:val="7D256235"/>
    <w:rsid w:val="7D6B70BA"/>
    <w:rsid w:val="7D9C27F4"/>
    <w:rsid w:val="7DB374ED"/>
    <w:rsid w:val="7DF06F0E"/>
    <w:rsid w:val="7E235708"/>
    <w:rsid w:val="7E3F6FD8"/>
    <w:rsid w:val="7E4759EE"/>
    <w:rsid w:val="7E5937DF"/>
    <w:rsid w:val="7E891663"/>
    <w:rsid w:val="7EA128F3"/>
    <w:rsid w:val="7EAA2180"/>
    <w:rsid w:val="7EAF7A82"/>
    <w:rsid w:val="7EB06EA4"/>
    <w:rsid w:val="7ED9098E"/>
    <w:rsid w:val="7EF61E30"/>
    <w:rsid w:val="7F412D43"/>
    <w:rsid w:val="7FB92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rPr>
      <w:sz w:val="24"/>
    </w:rPr>
  </w:style>
  <w:style w:type="table" w:styleId="5">
    <w:name w:val="Table Grid"/>
    <w:basedOn w:val="4"/>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2769</Words>
  <Characters>2861</Characters>
  <Lines>0</Lines>
  <Paragraphs>0</Paragraphs>
  <TotalTime>36</TotalTime>
  <ScaleCrop>false</ScaleCrop>
  <LinksUpToDate>false</LinksUpToDate>
  <CharactersWithSpaces>2864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2024-12-16T09:10:00Z</dcterms:created>
  <dc:creator>白爺</dc:creator>
  <cp:lastModifiedBy>赵敏</cp:lastModifiedBy>
  <dcterms:modified xsi:type="dcterms:W3CDTF">2025-09-12T00:52:52Z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B6ADBD662FDA4A47A2C8906F6F9F0AEC_13</vt:lpwstr>
  </property>
  <property fmtid="{D5CDD505-2E9C-101B-9397-08002B2CF9AE}" pid="4" name="KSOTemplateDocerSaveRecord">
    <vt:lpwstr>eyJoZGlkIjoiZDdiZDM3NWJlMmIxMmFkODg1ZTllOTIyOTQ1ZTg2YzEiLCJ1c2VySWQiOiI3MzAzNTgyNTIifQ==</vt:lpwstr>
  </property>
</Properties>
</file>